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省文化创意旅游产业链招商工作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年度考核评分办法</w:t>
      </w:r>
    </w:p>
    <w:p>
      <w:pPr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总分100分，按照发布项目、签约项目、履约项目（分落地和开工两个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阶段</w:t>
      </w:r>
      <w:r>
        <w:rPr>
          <w:rFonts w:ascii="Times New Roman" w:hAnsi="Times New Roman" w:eastAsia="仿宋_GB2312" w:cs="Times New Roman"/>
          <w:sz w:val="32"/>
          <w:szCs w:val="32"/>
        </w:rPr>
        <w:t>）和招大引强4个子项计分，各项分值分别为10分、20分、40分和30分。各市州和县市区按考核得分排名，得分前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6名的市州和前2</w:t>
      </w:r>
      <w:r>
        <w:rPr>
          <w:rFonts w:ascii="Times New Roman" w:hAnsi="Times New Roman" w:eastAsia="仿宋_GB2312" w:cs="Times New Roman"/>
          <w:sz w:val="32"/>
          <w:szCs w:val="32"/>
        </w:rPr>
        <w:t>0名的县市区被评为年度文旅招商工作优秀单位。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一、发布项目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市州：</w:t>
      </w:r>
      <w:r>
        <w:rPr>
          <w:rFonts w:ascii="Times New Roman" w:hAnsi="Times New Roman" w:eastAsia="仿宋_GB2312" w:cs="Times New Roman"/>
          <w:sz w:val="32"/>
          <w:szCs w:val="32"/>
        </w:rPr>
        <w:t>按总投资1000万元以上的项目1个计1分，总投资2亿元以上的项目1个计3分，最高计10分。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县市区：</w:t>
      </w:r>
      <w:r>
        <w:rPr>
          <w:rFonts w:ascii="Times New Roman" w:hAnsi="Times New Roman" w:eastAsia="仿宋_GB2312" w:cs="Times New Roman"/>
          <w:sz w:val="32"/>
          <w:szCs w:val="32"/>
        </w:rPr>
        <w:t>按总投资1000万元以上的项目1个计2分，总投资2亿元以上的项目1个计4分，最高计10分。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二、签约项目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市州：</w:t>
      </w:r>
      <w:r>
        <w:rPr>
          <w:rFonts w:ascii="Times New Roman" w:hAnsi="Times New Roman" w:eastAsia="仿宋_GB2312" w:cs="Times New Roman"/>
          <w:sz w:val="32"/>
          <w:szCs w:val="32"/>
        </w:rPr>
        <w:t>按总投资1000万元以上的项目1个计1分，总投资2亿元以上的项目1个计3分，最高计20分；总投资10亿元以上的项目1个计10分（上不封顶）。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县市区</w:t>
      </w:r>
      <w:r>
        <w:rPr>
          <w:rFonts w:ascii="楷体_GB2312" w:hAnsi="Times New Roman" w:eastAsia="楷体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按总投资1000万元以上的项目1个计2分，总投资2亿元以上的项目1个计6分，最高计20分；总投资10亿元以上的项目1个计10分（上不封顶）。</w:t>
      </w:r>
    </w:p>
    <w:p>
      <w:pPr>
        <w:snapToGrid w:val="0"/>
        <w:spacing w:line="61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三、履约项目（分落地和开工两个阶段考评）</w:t>
      </w:r>
    </w:p>
    <w:p>
      <w:pPr>
        <w:snapToGrid w:val="0"/>
        <w:spacing w:line="61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市州：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.当年签约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落地项目到位资金总额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000万元计2分，每增加1000万元计1分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2个月内落地项目到位资金总额2000万元计1.6分，每增加1000万元计0.8分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2个月但在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4个月内落地项目到位资金总额2000万元计1.2分，每增加1000万元计0.6分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最高计20分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2.当年签约并开工项目累计完成投资总额1000万元计2分，每增加1000万元计1分；签约后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2个月内开工项目累计完成投资总额1000万元计1.6分，每增加1000万元计0.8分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2个月但在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4个月内开工项目累计完成投资总额1000万元计1.2分，每增加1000万元计0.6分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最高计20分。</w:t>
      </w:r>
    </w:p>
    <w:p>
      <w:pPr>
        <w:snapToGrid w:val="0"/>
        <w:spacing w:line="61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县市区</w:t>
      </w:r>
      <w:r>
        <w:rPr>
          <w:rFonts w:ascii="楷体_GB2312" w:hAnsi="Times New Roman" w:eastAsia="楷体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.当年签约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落地项目到位资金总额1000万元计5分，每增加1000万元计1分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2个月内落地项目到位资金总额1000万元计4分，每增加1000万元计0.8分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2个月但在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4个月内落地项目到位资金总额1000万元计3分，每增加1000万元计0.6分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最高计20分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2.当年签约并开工项目累计完成投资总额1000万元计10分，每增加1000万元计1分；签约后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2个月内开工项目累计完成投资总额1000万元计8分，每增加1000万元计0.8分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签约后超过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2个月但在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4个月内开工项目累计完成投资总额1000万元计6分，每增加1000万元计0.6分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最高计20分。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四、招大引强（适用市县两级）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numberInDash" w:start="2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引进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三类500强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或中国旅游20强企业项目1个计10分，每增加1个计10分（上不封顶）。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7CEF37F4"/>
    <w:rsid w:val="7CE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2024-05-22T06:56:00Z</dcterms:created>
  <dc:creator>刘婧驮</dc:creator>
  <cp:lastModifiedBy>刘婧驮</cp:lastModifiedBy>
  <dcterms:modified xsi:type="dcterms:W3CDTF">2024-05-22T06:57:09Z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85620BB724F94B308B412C569D933F5E_11</vt:lpwstr>
  </property>
</Properties>
</file>