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8"/>
          <w:szCs w:val="48"/>
        </w:rPr>
      </w:pPr>
      <w:r>
        <w:rPr>
          <w:rFonts w:hint="eastAsia" w:ascii="仿宋" w:hAnsi="仿宋" w:eastAsia="仿宋" w:cs="仿宋"/>
          <w:b/>
          <w:bCs/>
          <w:color w:val="auto"/>
          <w:kern w:val="0"/>
          <w:sz w:val="48"/>
          <w:szCs w:val="48"/>
        </w:rPr>
        <w:t>2020年度</w:t>
      </w: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8"/>
          <w:szCs w:val="48"/>
        </w:rPr>
      </w:pPr>
      <w:r>
        <w:rPr>
          <w:rFonts w:hint="eastAsia" w:ascii="仿宋" w:hAnsi="仿宋" w:eastAsia="仿宋" w:cs="仿宋"/>
          <w:b/>
          <w:bCs/>
          <w:color w:val="auto"/>
          <w:kern w:val="0"/>
          <w:sz w:val="48"/>
          <w:szCs w:val="48"/>
          <w:lang w:eastAsia="zh-CN"/>
        </w:rPr>
        <w:t>长沙市体育训练竞赛管理中心</w:t>
      </w:r>
      <w:r>
        <w:rPr>
          <w:rFonts w:hint="eastAsia" w:ascii="仿宋" w:hAnsi="仿宋" w:eastAsia="仿宋" w:cs="仿宋"/>
          <w:b/>
          <w:bCs/>
          <w:color w:val="auto"/>
          <w:kern w:val="0"/>
          <w:sz w:val="48"/>
          <w:szCs w:val="48"/>
        </w:rPr>
        <w:t>部门决算</w:t>
      </w:r>
    </w:p>
    <w:p>
      <w:pPr>
        <w:rPr>
          <w:rFonts w:hint="eastAsia" w:ascii="仿宋" w:hAnsi="仿宋" w:eastAsia="仿宋" w:cs="仿宋"/>
          <w:b/>
          <w:bCs/>
          <w:color w:val="auto"/>
          <w:kern w:val="0"/>
          <w:sz w:val="32"/>
          <w:szCs w:val="32"/>
        </w:rPr>
      </w:pPr>
      <w:r>
        <w:rPr>
          <w:rFonts w:hint="eastAsia" w:ascii="仿宋" w:hAnsi="仿宋" w:eastAsia="仿宋" w:cs="仿宋"/>
          <w:b w:val="0"/>
          <w:bCs w:val="0"/>
          <w:color w:val="auto"/>
          <w:kern w:val="0"/>
          <w:sz w:val="44"/>
          <w:szCs w:val="44"/>
        </w:rPr>
        <w:br w:type="page"/>
      </w: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仿宋" w:hAnsi="仿宋" w:eastAsia="仿宋" w:cs="仿宋"/>
          <w:b/>
          <w:bCs/>
          <w:color w:val="auto"/>
          <w:kern w:val="0"/>
          <w:sz w:val="36"/>
          <w:szCs w:val="36"/>
        </w:rPr>
      </w:pPr>
      <w:r>
        <w:rPr>
          <w:rFonts w:hint="eastAsia" w:ascii="仿宋" w:hAnsi="仿宋" w:eastAsia="仿宋" w:cs="仿宋"/>
          <w:b/>
          <w:bCs/>
          <w:color w:val="auto"/>
          <w:kern w:val="0"/>
          <w:sz w:val="36"/>
          <w:szCs w:val="36"/>
        </w:rPr>
        <w:t> 目</w:t>
      </w:r>
      <w:r>
        <w:rPr>
          <w:rFonts w:hint="eastAsia" w:ascii="仿宋" w:hAnsi="仿宋" w:eastAsia="仿宋" w:cs="仿宋"/>
          <w:b/>
          <w:bCs/>
          <w:color w:val="auto"/>
          <w:kern w:val="0"/>
          <w:sz w:val="36"/>
          <w:szCs w:val="36"/>
          <w:lang w:val="en-US" w:eastAsia="zh-CN"/>
        </w:rPr>
        <w:t xml:space="preserve">    </w:t>
      </w:r>
      <w:r>
        <w:rPr>
          <w:rFonts w:hint="eastAsia" w:ascii="仿宋" w:hAnsi="仿宋" w:eastAsia="仿宋" w:cs="仿宋"/>
          <w:b/>
          <w:bCs/>
          <w:color w:val="auto"/>
          <w:kern w:val="0"/>
          <w:sz w:val="36"/>
          <w:szCs w:val="36"/>
        </w:rPr>
        <w:t>录</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第一部分</w:t>
      </w:r>
      <w:r>
        <w:rPr>
          <w:rFonts w:hint="eastAsia" w:ascii="仿宋" w:hAnsi="仿宋" w:eastAsia="仿宋" w:cs="仿宋"/>
          <w:b/>
          <w:bCs/>
          <w:color w:val="auto"/>
          <w:kern w:val="0"/>
          <w:sz w:val="32"/>
          <w:szCs w:val="32"/>
          <w:lang w:val="en-US" w:eastAsia="zh-CN"/>
        </w:rPr>
        <w:t xml:space="preserve"> 长沙市体育训练竞赛管理中心</w:t>
      </w:r>
      <w:r>
        <w:rPr>
          <w:rFonts w:hint="eastAsia" w:ascii="仿宋" w:hAnsi="仿宋" w:eastAsia="仿宋" w:cs="仿宋"/>
          <w:b/>
          <w:bCs/>
          <w:color w:val="auto"/>
          <w:kern w:val="0"/>
          <w:sz w:val="32"/>
          <w:szCs w:val="32"/>
        </w:rPr>
        <w:t>概况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一、部门职责</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二、机构设置</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第二部分2020年度部门决算表</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收入支出决算总表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二、收</w:t>
      </w:r>
      <w:r>
        <w:rPr>
          <w:rFonts w:hint="eastAsia" w:ascii="仿宋" w:hAnsi="仿宋" w:eastAsia="仿宋" w:cs="仿宋"/>
          <w:b w:val="0"/>
          <w:bCs w:val="0"/>
          <w:color w:val="auto"/>
          <w:kern w:val="0"/>
          <w:sz w:val="32"/>
          <w:szCs w:val="32"/>
          <w:lang w:val="en-US" w:eastAsia="zh-CN"/>
        </w:rPr>
        <w:t>入决算表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三、支出</w:t>
      </w:r>
      <w:r>
        <w:rPr>
          <w:rFonts w:hint="eastAsia" w:ascii="仿宋" w:hAnsi="仿宋" w:eastAsia="仿宋" w:cs="仿宋"/>
          <w:b w:val="0"/>
          <w:bCs w:val="0"/>
          <w:color w:val="auto"/>
          <w:kern w:val="0"/>
          <w:sz w:val="32"/>
          <w:szCs w:val="32"/>
        </w:rPr>
        <w:t>决算表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四、财政拨款收入支出决算总表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五、一般公共预算财政拨款支出决算表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六、一般公共预算财政拨款基本支出决算表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七、一般公共预算财政拨款“三公”经费支出决算表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九、国有资本经营预算财政拨款支出决算表</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第三部分2020年度部门决算情况说明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八、政府性基金预算收入支出决算情况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eastAsia="zh-CN"/>
        </w:rPr>
        <w:t>九</w:t>
      </w:r>
      <w:r>
        <w:rPr>
          <w:rFonts w:hint="eastAsia" w:ascii="仿宋" w:hAnsi="仿宋" w:eastAsia="仿宋" w:cs="仿宋"/>
          <w:b w:val="0"/>
          <w:bCs w:val="0"/>
          <w:color w:val="auto"/>
          <w:kern w:val="0"/>
          <w:sz w:val="32"/>
          <w:szCs w:val="32"/>
        </w:rPr>
        <w:t>、关于机关运行经费支出说明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十、一般性支出情况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十</w:t>
      </w:r>
      <w:r>
        <w:rPr>
          <w:rFonts w:hint="eastAsia" w:ascii="仿宋" w:hAnsi="仿宋" w:eastAsia="仿宋" w:cs="仿宋"/>
          <w:b w:val="0"/>
          <w:bCs w:val="0"/>
          <w:color w:val="auto"/>
          <w:kern w:val="0"/>
          <w:sz w:val="32"/>
          <w:szCs w:val="32"/>
          <w:lang w:eastAsia="zh-CN"/>
        </w:rPr>
        <w:t>一</w:t>
      </w:r>
      <w:r>
        <w:rPr>
          <w:rFonts w:hint="eastAsia" w:ascii="仿宋" w:hAnsi="仿宋" w:eastAsia="仿宋" w:cs="仿宋"/>
          <w:b w:val="0"/>
          <w:bCs w:val="0"/>
          <w:color w:val="auto"/>
          <w:kern w:val="0"/>
          <w:sz w:val="32"/>
          <w:szCs w:val="32"/>
        </w:rPr>
        <w:t>、关于政府采购支出说明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十</w:t>
      </w:r>
      <w:r>
        <w:rPr>
          <w:rFonts w:hint="eastAsia" w:ascii="仿宋" w:hAnsi="仿宋" w:eastAsia="仿宋" w:cs="仿宋"/>
          <w:b w:val="0"/>
          <w:bCs w:val="0"/>
          <w:color w:val="auto"/>
          <w:kern w:val="0"/>
          <w:sz w:val="32"/>
          <w:szCs w:val="32"/>
          <w:lang w:eastAsia="zh-CN"/>
        </w:rPr>
        <w:t>二</w:t>
      </w:r>
      <w:r>
        <w:rPr>
          <w:rFonts w:hint="eastAsia" w:ascii="仿宋" w:hAnsi="仿宋" w:eastAsia="仿宋" w:cs="仿宋"/>
          <w:b w:val="0"/>
          <w:bCs w:val="0"/>
          <w:color w:val="auto"/>
          <w:kern w:val="0"/>
          <w:sz w:val="32"/>
          <w:szCs w:val="32"/>
        </w:rPr>
        <w:t>、关于国有资产占用情况说明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十</w:t>
      </w:r>
      <w:r>
        <w:rPr>
          <w:rFonts w:hint="eastAsia" w:ascii="仿宋" w:hAnsi="仿宋" w:eastAsia="仿宋" w:cs="仿宋"/>
          <w:b w:val="0"/>
          <w:bCs w:val="0"/>
          <w:color w:val="auto"/>
          <w:kern w:val="0"/>
          <w:sz w:val="32"/>
          <w:szCs w:val="32"/>
          <w:lang w:eastAsia="zh-CN"/>
        </w:rPr>
        <w:t>三</w:t>
      </w:r>
      <w:r>
        <w:rPr>
          <w:rFonts w:hint="eastAsia" w:ascii="仿宋" w:hAnsi="仿宋" w:eastAsia="仿宋" w:cs="仿宋"/>
          <w:b w:val="0"/>
          <w:bCs w:val="0"/>
          <w:color w:val="auto"/>
          <w:kern w:val="0"/>
          <w:sz w:val="32"/>
          <w:szCs w:val="32"/>
        </w:rPr>
        <w:t>、关于2020年度预算绩效情况的说明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 xml:space="preserve">     （重点项目预算的绩效目标等情况说明）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第四部分名词解释</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第五部分附件</w:t>
      </w:r>
    </w:p>
    <w:p>
      <w:pPr>
        <w:widowControl/>
        <w:spacing w:before="100" w:beforeAutospacing="1" w:after="100" w:afterAutospacing="1"/>
        <w:ind w:left="0" w:leftChars="0" w:firstLine="600" w:firstLineChars="200"/>
        <w:jc w:val="left"/>
        <w:rPr>
          <w:rFonts w:hint="eastAsia" w:ascii="仿宋" w:hAnsi="仿宋" w:eastAsia="仿宋" w:cs="仿宋"/>
          <w:b w:val="0"/>
          <w:bCs w:val="0"/>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仿宋" w:hAnsi="仿宋" w:eastAsia="仿宋" w:cs="仿宋"/>
          <w:b w:val="0"/>
          <w:bCs w:val="0"/>
          <w:color w:val="auto"/>
          <w:kern w:val="0"/>
          <w:sz w:val="44"/>
          <w:szCs w:val="44"/>
        </w:rPr>
      </w:pPr>
    </w:p>
    <w:p>
      <w:pPr>
        <w:rPr>
          <w:rFonts w:hint="eastAsia" w:ascii="仿宋" w:hAnsi="仿宋" w:eastAsia="仿宋" w:cs="仿宋"/>
          <w:b w:val="0"/>
          <w:bCs w:val="0"/>
          <w:color w:val="auto"/>
          <w:kern w:val="0"/>
          <w:sz w:val="44"/>
          <w:szCs w:val="44"/>
        </w:rPr>
      </w:pPr>
      <w:r>
        <w:rPr>
          <w:rFonts w:hint="eastAsia" w:ascii="仿宋" w:hAnsi="仿宋" w:eastAsia="仿宋" w:cs="仿宋"/>
          <w:b w:val="0"/>
          <w:bCs w:val="0"/>
          <w:color w:val="auto"/>
          <w:kern w:val="0"/>
          <w:sz w:val="44"/>
          <w:szCs w:val="44"/>
        </w:rPr>
        <w:br w:type="page"/>
      </w: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 w:hAnsi="仿宋" w:eastAsia="仿宋" w:cs="仿宋"/>
          <w:b/>
          <w:bCs/>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rPr>
        <w:t>第一部分</w:t>
      </w: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left="0" w:leftChars="0" w:firstLine="0" w:firstLineChars="0"/>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lang w:val="en-US" w:eastAsia="zh-CN"/>
        </w:rPr>
        <w:t>长沙市体育训练竞赛管理中心</w:t>
      </w:r>
      <w:r>
        <w:rPr>
          <w:rFonts w:hint="eastAsia" w:ascii="仿宋" w:hAnsi="仿宋" w:eastAsia="仿宋" w:cs="仿宋"/>
          <w:b/>
          <w:bCs/>
          <w:color w:val="auto"/>
          <w:kern w:val="0"/>
          <w:sz w:val="44"/>
          <w:szCs w:val="44"/>
        </w:rPr>
        <w:t>概况</w:t>
      </w:r>
    </w:p>
    <w:p>
      <w:pPr>
        <w:rPr>
          <w:rFonts w:hint="eastAsia" w:ascii="仿宋" w:hAnsi="仿宋" w:eastAsia="仿宋" w:cs="仿宋"/>
          <w:b w:val="0"/>
          <w:bCs w:val="0"/>
          <w:color w:val="auto"/>
          <w:kern w:val="0"/>
          <w:sz w:val="44"/>
          <w:szCs w:val="44"/>
        </w:rPr>
      </w:pPr>
    </w:p>
    <w:p>
      <w:pPr>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320" w:firstLineChars="100"/>
        <w:jc w:val="both"/>
        <w:textAlignment w:val="auto"/>
        <w:rPr>
          <w:rFonts w:hint="eastAsia" w:ascii="仿宋" w:hAnsi="仿宋" w:eastAsia="仿宋" w:cs="仿宋"/>
          <w:b w:val="0"/>
          <w:bCs w:val="0"/>
          <w:color w:val="auto"/>
          <w:kern w:val="0"/>
          <w:sz w:val="32"/>
          <w:szCs w:val="32"/>
          <w:lang w:val="en-US" w:eastAsia="zh-CN"/>
        </w:rPr>
      </w:pPr>
    </w:p>
    <w:p>
      <w:pPr>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both"/>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一、</w:t>
      </w:r>
      <w:r>
        <w:rPr>
          <w:rFonts w:hint="eastAsia" w:ascii="仿宋" w:hAnsi="仿宋" w:eastAsia="仿宋" w:cs="仿宋"/>
          <w:b/>
          <w:bCs/>
          <w:color w:val="auto"/>
          <w:kern w:val="0"/>
          <w:sz w:val="32"/>
          <w:szCs w:val="32"/>
        </w:rPr>
        <w:t>部门职责</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长沙市体育训练竞赛管理中心（长沙市青少年体育运动学校）于2008年12月由原长沙市青少年体育学校、长沙市业余训练管理指导中心、长沙市水上运动训练基地等三单位合并组建而成，为长沙市体育局直属副县级、全额拨款事业单位，主要负责全市球类、水上运动、田径、武术等17个项目的青少年竞技体育及体育后备人才的训练、输送、比赛。中心现拥有篮球训练馆、羽毛球训练馆、乒乓球训练馆、网球室内训练房、跳水陆上训练房、体能训练馆等训练设施。训练场馆总建筑面积4897平方米。</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机构设置</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sz w:val="32"/>
          <w:szCs w:val="32"/>
        </w:rPr>
        <w:t>长沙市体育训练竞赛管理中心内设机构包括：综合部、训练一部、训练二部、训练三部</w:t>
      </w:r>
      <w:r>
        <w:rPr>
          <w:rFonts w:hint="eastAsia" w:ascii="仿宋" w:hAnsi="仿宋" w:eastAsia="仿宋" w:cs="仿宋"/>
          <w:color w:val="auto"/>
          <w:sz w:val="32"/>
          <w:szCs w:val="32"/>
          <w:lang w:eastAsia="zh-CN"/>
        </w:rPr>
        <w:t>。</w:t>
      </w:r>
    </w:p>
    <w:p>
      <w:pPr>
        <w:widowControl/>
        <w:spacing w:before="100" w:beforeAutospacing="1" w:after="100" w:afterAutospacing="1"/>
        <w:jc w:val="center"/>
        <w:rPr>
          <w:rFonts w:hint="eastAsia" w:ascii="仿宋" w:hAnsi="仿宋" w:eastAsia="仿宋" w:cs="仿宋"/>
          <w:color w:val="auto"/>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r>
        <w:rPr>
          <w:rFonts w:hint="eastAsia" w:ascii="仿宋" w:hAnsi="仿宋" w:eastAsia="仿宋" w:cs="仿宋"/>
          <w:b w:val="0"/>
          <w:bCs w:val="0"/>
          <w:color w:val="auto"/>
          <w:kern w:val="0"/>
          <w:sz w:val="44"/>
          <w:szCs w:val="44"/>
        </w:rPr>
        <w:t> </w:t>
      </w:r>
    </w:p>
    <w:p>
      <w:pPr>
        <w:rPr>
          <w:rFonts w:hint="eastAsia" w:ascii="仿宋" w:hAnsi="仿宋" w:eastAsia="仿宋" w:cs="仿宋"/>
          <w:b w:val="0"/>
          <w:bCs w:val="0"/>
          <w:color w:val="auto"/>
          <w:kern w:val="0"/>
          <w:sz w:val="44"/>
          <w:szCs w:val="44"/>
        </w:rPr>
      </w:pPr>
      <w:r>
        <w:rPr>
          <w:rFonts w:hint="eastAsia" w:ascii="仿宋" w:hAnsi="仿宋" w:eastAsia="仿宋" w:cs="仿宋"/>
          <w:b w:val="0"/>
          <w:bCs w:val="0"/>
          <w:color w:val="auto"/>
          <w:kern w:val="0"/>
          <w:sz w:val="44"/>
          <w:szCs w:val="44"/>
        </w:rPr>
        <w:br w:type="page"/>
      </w: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rPr>
        <w:t>第二部分</w:t>
      </w: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rPr>
        <w:t>部门决算表</w:t>
      </w:r>
    </w:p>
    <w:p>
      <w:pPr>
        <w:rPr>
          <w:rFonts w:hint="eastAsia" w:ascii="仿宋" w:hAnsi="仿宋" w:eastAsia="仿宋" w:cs="仿宋"/>
          <w:b w:val="0"/>
          <w:bCs w:val="0"/>
          <w:color w:val="auto"/>
          <w:kern w:val="0"/>
          <w:sz w:val="44"/>
          <w:szCs w:val="44"/>
        </w:rPr>
      </w:pPr>
      <w:r>
        <w:rPr>
          <w:rFonts w:hint="eastAsia" w:ascii="仿宋" w:hAnsi="仿宋" w:eastAsia="仿宋" w:cs="仿宋"/>
          <w:b w:val="0"/>
          <w:bCs w:val="0"/>
          <w:color w:val="auto"/>
          <w:kern w:val="0"/>
          <w:sz w:val="44"/>
          <w:szCs w:val="44"/>
        </w:rPr>
        <w:br w:type="page"/>
      </w:r>
    </w:p>
    <w:p>
      <w:pPr>
        <w:rPr>
          <w:rFonts w:hint="eastAsia" w:ascii="仿宋" w:hAnsi="仿宋" w:eastAsia="仿宋" w:cs="仿宋"/>
          <w:b w:val="0"/>
          <w:bCs w:val="0"/>
          <w:color w:val="auto"/>
          <w:kern w:val="0"/>
          <w:sz w:val="44"/>
          <w:szCs w:val="44"/>
        </w:rPr>
      </w:pPr>
    </w:p>
    <w:p>
      <w:pPr>
        <w:widowControl/>
        <w:spacing w:before="100" w:beforeAutospacing="1" w:after="100" w:afterAutospacing="1"/>
        <w:jc w:val="both"/>
        <w:rPr>
          <w:rFonts w:hint="eastAsia" w:ascii="仿宋" w:hAnsi="仿宋" w:eastAsia="仿宋" w:cs="仿宋"/>
          <w:color w:val="auto"/>
        </w:rPr>
      </w:pPr>
      <w:r>
        <w:rPr>
          <w:rFonts w:hint="eastAsia" w:ascii="仿宋" w:hAnsi="仿宋" w:eastAsia="仿宋" w:cs="仿宋"/>
          <w:color w:val="auto"/>
        </w:rPr>
        <w:drawing>
          <wp:inline distT="0" distB="0" distL="114300" distR="114300">
            <wp:extent cx="7291705" cy="6036310"/>
            <wp:effectExtent l="0" t="0" r="254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stretch>
                      <a:fillRect/>
                    </a:stretch>
                  </pic:blipFill>
                  <pic:spPr>
                    <a:xfrm rot="5400000">
                      <a:off x="0" y="0"/>
                      <a:ext cx="7291705" cy="6036310"/>
                    </a:xfrm>
                    <a:prstGeom prst="rect">
                      <a:avLst/>
                    </a:prstGeom>
                    <a:noFill/>
                    <a:ln>
                      <a:noFill/>
                    </a:ln>
                  </pic:spPr>
                </pic:pic>
              </a:graphicData>
            </a:graphic>
          </wp:inline>
        </w:drawing>
      </w:r>
    </w:p>
    <w:p>
      <w:pPr>
        <w:widowControl/>
        <w:spacing w:before="100" w:beforeAutospacing="1" w:after="100" w:afterAutospacing="1"/>
        <w:jc w:val="both"/>
        <w:rPr>
          <w:rFonts w:hint="eastAsia" w:ascii="仿宋" w:hAnsi="仿宋" w:eastAsia="仿宋" w:cs="仿宋"/>
          <w:color w:val="auto"/>
        </w:rPr>
      </w:pPr>
    </w:p>
    <w:p>
      <w:pPr>
        <w:widowControl/>
        <w:spacing w:before="100" w:beforeAutospacing="1" w:after="100" w:afterAutospacing="1"/>
        <w:jc w:val="both"/>
        <w:rPr>
          <w:rFonts w:hint="eastAsia" w:ascii="仿宋" w:hAnsi="仿宋" w:eastAsia="仿宋" w:cs="仿宋"/>
          <w:color w:val="auto"/>
        </w:rPr>
      </w:pPr>
    </w:p>
    <w:p>
      <w:pPr>
        <w:widowControl/>
        <w:spacing w:before="100" w:beforeAutospacing="1" w:after="100" w:afterAutospacing="1"/>
        <w:jc w:val="both"/>
        <w:rPr>
          <w:rFonts w:hint="eastAsia" w:ascii="仿宋" w:hAnsi="仿宋" w:eastAsia="仿宋" w:cs="仿宋"/>
          <w:color w:val="auto"/>
          <w:lang w:eastAsia="zh-CN"/>
        </w:rPr>
      </w:pPr>
    </w:p>
    <w:p>
      <w:pPr>
        <w:widowControl/>
        <w:spacing w:before="100" w:beforeAutospacing="1" w:after="100" w:afterAutospacing="1"/>
        <w:jc w:val="both"/>
        <w:rPr>
          <w:rFonts w:hint="eastAsia" w:ascii="仿宋" w:hAnsi="仿宋" w:eastAsia="仿宋" w:cs="仿宋"/>
          <w:color w:val="auto"/>
        </w:rPr>
      </w:pPr>
      <w:r>
        <w:rPr>
          <w:rFonts w:hint="eastAsia" w:ascii="仿宋" w:hAnsi="仿宋" w:eastAsia="仿宋" w:cs="仿宋"/>
          <w:color w:val="auto"/>
          <w:lang w:val="en-US" w:eastAsia="zh-CN"/>
        </w:rPr>
        <w:t xml:space="preserve">                     </w:t>
      </w:r>
      <w:r>
        <w:rPr>
          <w:rFonts w:hint="eastAsia" w:ascii="仿宋" w:hAnsi="仿宋" w:eastAsia="仿宋" w:cs="仿宋"/>
          <w:color w:val="auto"/>
        </w:rPr>
        <w:drawing>
          <wp:inline distT="0" distB="0" distL="114300" distR="114300">
            <wp:extent cx="8263890" cy="2703195"/>
            <wp:effectExtent l="0" t="0" r="190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rot="5400000">
                      <a:off x="0" y="0"/>
                      <a:ext cx="8263890" cy="2703195"/>
                    </a:xfrm>
                    <a:prstGeom prst="rect">
                      <a:avLst/>
                    </a:prstGeom>
                    <a:noFill/>
                    <a:ln>
                      <a:noFill/>
                    </a:ln>
                  </pic:spPr>
                </pic:pic>
              </a:graphicData>
            </a:graphic>
          </wp:inline>
        </w:drawing>
      </w:r>
    </w:p>
    <w:p>
      <w:pPr>
        <w:widowControl/>
        <w:spacing w:before="100" w:beforeAutospacing="1" w:after="100" w:afterAutospacing="1"/>
        <w:jc w:val="both"/>
        <w:rPr>
          <w:rFonts w:hint="eastAsia" w:ascii="仿宋" w:hAnsi="仿宋" w:eastAsia="仿宋" w:cs="仿宋"/>
          <w:color w:val="auto"/>
        </w:rPr>
      </w:pPr>
    </w:p>
    <w:p>
      <w:pPr>
        <w:widowControl/>
        <w:spacing w:before="100" w:beforeAutospacing="1" w:after="100" w:afterAutospacing="1"/>
        <w:jc w:val="both"/>
        <w:rPr>
          <w:rFonts w:hint="eastAsia" w:ascii="仿宋" w:hAnsi="仿宋" w:eastAsia="仿宋" w:cs="仿宋"/>
          <w:color w:val="auto"/>
        </w:rPr>
      </w:pPr>
      <w:r>
        <w:rPr>
          <w:rFonts w:hint="eastAsia" w:ascii="仿宋" w:hAnsi="仿宋" w:eastAsia="仿宋" w:cs="仿宋"/>
          <w:color w:val="auto"/>
          <w:lang w:val="en-US" w:eastAsia="zh-CN"/>
        </w:rPr>
        <w:t xml:space="preserve">             </w:t>
      </w:r>
      <w:r>
        <w:rPr>
          <w:rFonts w:hint="eastAsia" w:ascii="仿宋" w:hAnsi="仿宋" w:eastAsia="仿宋" w:cs="仿宋"/>
          <w:color w:val="auto"/>
        </w:rPr>
        <w:drawing>
          <wp:inline distT="0" distB="0" distL="114300" distR="114300">
            <wp:extent cx="8253095" cy="2898775"/>
            <wp:effectExtent l="0" t="0" r="15875"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rot="5400000">
                      <a:off x="0" y="0"/>
                      <a:ext cx="8253095" cy="2898775"/>
                    </a:xfrm>
                    <a:prstGeom prst="rect">
                      <a:avLst/>
                    </a:prstGeom>
                    <a:noFill/>
                    <a:ln>
                      <a:noFill/>
                    </a:ln>
                  </pic:spPr>
                </pic:pic>
              </a:graphicData>
            </a:graphic>
          </wp:inline>
        </w:drawing>
      </w:r>
    </w:p>
    <w:p>
      <w:pPr>
        <w:widowControl/>
        <w:spacing w:before="100" w:beforeAutospacing="1" w:after="100" w:afterAutospacing="1"/>
        <w:jc w:val="both"/>
        <w:rPr>
          <w:rFonts w:hint="eastAsia" w:ascii="仿宋" w:hAnsi="仿宋" w:eastAsia="仿宋" w:cs="仿宋"/>
          <w:color w:val="auto"/>
        </w:rPr>
      </w:pPr>
    </w:p>
    <w:p>
      <w:pPr>
        <w:widowControl/>
        <w:spacing w:before="100" w:beforeAutospacing="1" w:after="100" w:afterAutospacing="1"/>
        <w:jc w:val="both"/>
        <w:rPr>
          <w:rFonts w:hint="eastAsia" w:ascii="仿宋" w:hAnsi="仿宋" w:eastAsia="仿宋" w:cs="仿宋"/>
          <w:color w:val="auto"/>
        </w:rPr>
      </w:pPr>
      <w:r>
        <w:rPr>
          <w:rFonts w:hint="eastAsia" w:ascii="仿宋" w:hAnsi="仿宋" w:eastAsia="仿宋" w:cs="仿宋"/>
          <w:color w:val="auto"/>
        </w:rPr>
        <w:drawing>
          <wp:inline distT="0" distB="0" distL="114300" distR="114300">
            <wp:extent cx="7535545" cy="5710555"/>
            <wp:effectExtent l="0" t="0" r="444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rot="5400000">
                      <a:off x="0" y="0"/>
                      <a:ext cx="7535545" cy="5710555"/>
                    </a:xfrm>
                    <a:prstGeom prst="rect">
                      <a:avLst/>
                    </a:prstGeom>
                    <a:noFill/>
                    <a:ln>
                      <a:noFill/>
                    </a:ln>
                  </pic:spPr>
                </pic:pic>
              </a:graphicData>
            </a:graphic>
          </wp:inline>
        </w:drawing>
      </w:r>
    </w:p>
    <w:p>
      <w:pPr>
        <w:widowControl/>
        <w:spacing w:before="100" w:beforeAutospacing="1" w:after="100" w:afterAutospacing="1"/>
        <w:jc w:val="both"/>
        <w:rPr>
          <w:rFonts w:hint="eastAsia" w:ascii="仿宋" w:hAnsi="仿宋" w:eastAsia="仿宋" w:cs="仿宋"/>
          <w:color w:val="auto"/>
        </w:rPr>
      </w:pPr>
    </w:p>
    <w:p>
      <w:pPr>
        <w:widowControl/>
        <w:spacing w:before="100" w:beforeAutospacing="1" w:after="100" w:afterAutospacing="1"/>
        <w:jc w:val="both"/>
        <w:rPr>
          <w:rFonts w:hint="eastAsia" w:ascii="仿宋" w:hAnsi="仿宋" w:eastAsia="仿宋" w:cs="仿宋"/>
          <w:color w:val="auto"/>
        </w:rPr>
      </w:pPr>
      <w:r>
        <w:rPr>
          <w:rFonts w:hint="eastAsia" w:ascii="仿宋" w:hAnsi="仿宋" w:eastAsia="仿宋" w:cs="仿宋"/>
          <w:color w:val="auto"/>
          <w:lang w:val="en-US" w:eastAsia="zh-CN"/>
        </w:rPr>
        <w:t xml:space="preserve">           </w:t>
      </w:r>
      <w:r>
        <w:rPr>
          <w:rFonts w:hint="eastAsia" w:ascii="仿宋" w:hAnsi="仿宋" w:eastAsia="仿宋" w:cs="仿宋"/>
          <w:color w:val="auto"/>
        </w:rPr>
        <w:drawing>
          <wp:inline distT="0" distB="0" distL="114300" distR="114300">
            <wp:extent cx="8712835" cy="3592830"/>
            <wp:effectExtent l="0" t="0" r="7620" b="1206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9"/>
                    <a:stretch>
                      <a:fillRect/>
                    </a:stretch>
                  </pic:blipFill>
                  <pic:spPr>
                    <a:xfrm rot="5400000">
                      <a:off x="0" y="0"/>
                      <a:ext cx="8712835" cy="3592830"/>
                    </a:xfrm>
                    <a:prstGeom prst="rect">
                      <a:avLst/>
                    </a:prstGeom>
                    <a:noFill/>
                    <a:ln>
                      <a:noFill/>
                    </a:ln>
                  </pic:spPr>
                </pic:pic>
              </a:graphicData>
            </a:graphic>
          </wp:inline>
        </w:drawing>
      </w:r>
    </w:p>
    <w:p>
      <w:pPr>
        <w:widowControl/>
        <w:spacing w:before="100" w:beforeAutospacing="1" w:after="100" w:afterAutospacing="1"/>
        <w:jc w:val="both"/>
        <w:rPr>
          <w:rFonts w:hint="eastAsia" w:ascii="仿宋" w:hAnsi="仿宋" w:eastAsia="仿宋" w:cs="仿宋"/>
          <w:color w:val="auto"/>
        </w:rPr>
      </w:pPr>
    </w:p>
    <w:p>
      <w:pPr>
        <w:widowControl/>
        <w:spacing w:before="100" w:beforeAutospacing="1" w:after="100" w:afterAutospacing="1"/>
        <w:jc w:val="both"/>
        <w:rPr>
          <w:rFonts w:hint="eastAsia" w:ascii="仿宋" w:hAnsi="仿宋" w:eastAsia="仿宋" w:cs="仿宋"/>
          <w:color w:val="auto"/>
        </w:rPr>
      </w:pPr>
      <w:r>
        <w:rPr>
          <w:rFonts w:hint="eastAsia" w:ascii="仿宋" w:hAnsi="仿宋" w:eastAsia="仿宋" w:cs="仿宋"/>
          <w:color w:val="auto"/>
        </w:rPr>
        <w:drawing>
          <wp:inline distT="0" distB="0" distL="114300" distR="114300">
            <wp:extent cx="8246745" cy="4926330"/>
            <wp:effectExtent l="0" t="0" r="762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rot="5400000">
                      <a:off x="0" y="0"/>
                      <a:ext cx="8246745" cy="4926330"/>
                    </a:xfrm>
                    <a:prstGeom prst="rect">
                      <a:avLst/>
                    </a:prstGeom>
                    <a:noFill/>
                    <a:ln>
                      <a:noFill/>
                    </a:ln>
                  </pic:spPr>
                </pic:pic>
              </a:graphicData>
            </a:graphic>
          </wp:inline>
        </w:drawing>
      </w:r>
    </w:p>
    <w:p>
      <w:pPr>
        <w:widowControl/>
        <w:spacing w:before="100" w:beforeAutospacing="1" w:after="100" w:afterAutospacing="1"/>
        <w:jc w:val="both"/>
        <w:rPr>
          <w:rFonts w:hint="eastAsia" w:ascii="仿宋" w:hAnsi="仿宋" w:eastAsia="仿宋" w:cs="仿宋"/>
          <w:color w:val="auto"/>
        </w:rPr>
      </w:pPr>
      <w:r>
        <w:rPr>
          <w:rFonts w:hint="eastAsia" w:ascii="仿宋" w:hAnsi="仿宋" w:eastAsia="仿宋" w:cs="仿宋"/>
          <w:color w:val="auto"/>
          <w:lang w:val="en-US" w:eastAsia="zh-CN"/>
        </w:rPr>
        <w:t xml:space="preserve">                         </w:t>
      </w:r>
      <w:r>
        <w:rPr>
          <w:rFonts w:hint="eastAsia" w:ascii="仿宋" w:hAnsi="仿宋" w:eastAsia="仿宋" w:cs="仿宋"/>
          <w:color w:val="auto"/>
        </w:rPr>
        <w:drawing>
          <wp:inline distT="0" distB="0" distL="114300" distR="114300">
            <wp:extent cx="8647430" cy="1879600"/>
            <wp:effectExtent l="0" t="0" r="6350"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a:stretch>
                      <a:fillRect/>
                    </a:stretch>
                  </pic:blipFill>
                  <pic:spPr>
                    <a:xfrm rot="5400000">
                      <a:off x="0" y="0"/>
                      <a:ext cx="8647430" cy="1879600"/>
                    </a:xfrm>
                    <a:prstGeom prst="rect">
                      <a:avLst/>
                    </a:prstGeom>
                    <a:noFill/>
                    <a:ln>
                      <a:noFill/>
                    </a:ln>
                  </pic:spPr>
                </pic:pic>
              </a:graphicData>
            </a:graphic>
          </wp:inline>
        </w:drawing>
      </w:r>
    </w:p>
    <w:p>
      <w:pPr>
        <w:widowControl/>
        <w:spacing w:before="100" w:beforeAutospacing="1" w:after="100" w:afterAutospacing="1"/>
        <w:jc w:val="both"/>
        <w:rPr>
          <w:rFonts w:hint="eastAsia"/>
          <w:lang w:val="en-US" w:eastAsia="zh-CN"/>
        </w:rPr>
      </w:pPr>
      <w:r>
        <w:rPr>
          <w:rFonts w:hint="eastAsia" w:ascii="仿宋" w:hAnsi="仿宋" w:eastAsia="仿宋" w:cs="仿宋"/>
          <w:color w:val="auto"/>
          <w:lang w:val="en-US" w:eastAsia="zh-CN"/>
        </w:rPr>
        <w:t xml:space="preserve">                      </w:t>
      </w:r>
      <w:r>
        <w:rPr>
          <w:rFonts w:hint="eastAsia" w:ascii="仿宋" w:hAnsi="仿宋" w:eastAsia="仿宋" w:cs="仿宋"/>
          <w:color w:val="auto"/>
        </w:rPr>
        <w:drawing>
          <wp:inline distT="0" distB="0" distL="114300" distR="114300">
            <wp:extent cx="8561070" cy="2471420"/>
            <wp:effectExtent l="0" t="0" r="5080" b="1143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rot="5400000">
                      <a:off x="0" y="0"/>
                      <a:ext cx="8561070" cy="2471420"/>
                    </a:xfrm>
                    <a:prstGeom prst="rect">
                      <a:avLst/>
                    </a:prstGeom>
                    <a:noFill/>
                    <a:ln>
                      <a:noFill/>
                    </a:ln>
                  </pic:spPr>
                </pic:pic>
              </a:graphicData>
            </a:graphic>
          </wp:inline>
        </w:drawing>
      </w:r>
    </w:p>
    <w:p>
      <w:pPr>
        <w:widowControl/>
        <w:spacing w:before="100" w:beforeAutospacing="1" w:after="100" w:afterAutospacing="1"/>
        <w:jc w:val="both"/>
        <w:rPr>
          <w:rFonts w:hint="eastAsia" w:ascii="仿宋" w:hAnsi="仿宋" w:eastAsia="仿宋" w:cs="仿宋"/>
          <w:color w:val="auto"/>
        </w:rPr>
      </w:pPr>
      <w:r>
        <w:rPr>
          <w:rFonts w:hint="eastAsia" w:ascii="仿宋" w:hAnsi="仿宋" w:eastAsia="仿宋" w:cs="仿宋"/>
          <w:color w:val="auto"/>
          <w:lang w:val="en-US" w:eastAsia="zh-CN"/>
        </w:rPr>
        <w:t xml:space="preserve">             </w:t>
      </w:r>
      <w:r>
        <w:rPr>
          <w:rFonts w:hint="eastAsia" w:ascii="仿宋" w:hAnsi="仿宋" w:eastAsia="仿宋" w:cs="仿宋"/>
          <w:color w:val="auto"/>
        </w:rPr>
        <w:drawing>
          <wp:inline distT="0" distB="0" distL="114300" distR="114300">
            <wp:extent cx="8672830" cy="3401695"/>
            <wp:effectExtent l="0" t="0" r="8255" b="139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a:stretch>
                      <a:fillRect/>
                    </a:stretch>
                  </pic:blipFill>
                  <pic:spPr>
                    <a:xfrm rot="5400000">
                      <a:off x="0" y="0"/>
                      <a:ext cx="8672830" cy="3401695"/>
                    </a:xfrm>
                    <a:prstGeom prst="rect">
                      <a:avLst/>
                    </a:prstGeom>
                    <a:noFill/>
                    <a:ln>
                      <a:noFill/>
                    </a:ln>
                  </pic:spPr>
                </pic:pic>
              </a:graphicData>
            </a:graphic>
          </wp:inline>
        </w:drawing>
      </w:r>
    </w:p>
    <w:p>
      <w:pPr>
        <w:rPr>
          <w:rFonts w:hint="eastAsia" w:ascii="仿宋" w:hAnsi="仿宋" w:eastAsia="仿宋" w:cs="仿宋"/>
          <w:color w:val="auto"/>
        </w:rPr>
      </w:pPr>
      <w:r>
        <w:rPr>
          <w:rFonts w:hint="eastAsia" w:ascii="仿宋" w:hAnsi="仿宋" w:eastAsia="仿宋" w:cs="仿宋"/>
          <w:color w:val="auto"/>
        </w:rPr>
        <w:br w:type="page"/>
      </w:r>
    </w:p>
    <w:p>
      <w:pPr>
        <w:widowControl/>
        <w:spacing w:before="100" w:beforeAutospacing="1" w:after="100" w:afterAutospacing="1"/>
        <w:jc w:val="both"/>
        <w:rPr>
          <w:rFonts w:hint="eastAsia" w:ascii="仿宋" w:hAnsi="仿宋" w:eastAsia="仿宋" w:cs="仿宋"/>
          <w:color w:val="auto"/>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rPr>
        <w:t>第三部分 </w:t>
      </w: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32"/>
          <w:szCs w:val="32"/>
        </w:rPr>
      </w:pPr>
      <w:r>
        <w:rPr>
          <w:rFonts w:hint="eastAsia" w:ascii="仿宋" w:hAnsi="仿宋" w:eastAsia="仿宋" w:cs="仿宋"/>
          <w:b/>
          <w:bCs/>
          <w:color w:val="auto"/>
          <w:kern w:val="0"/>
          <w:sz w:val="44"/>
          <w:szCs w:val="44"/>
        </w:rPr>
        <w:t>2020年度部门决算情况说明</w:t>
      </w:r>
    </w:p>
    <w:p>
      <w:pP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br w:type="page"/>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收入支出决算总体情况说明</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rPr>
          <w:rFonts w:hint="eastAsia" w:ascii="仿宋" w:hAnsi="仿宋" w:eastAsia="仿宋" w:cs="仿宋"/>
          <w:color w:val="auto"/>
        </w:rPr>
      </w:pPr>
      <w:r>
        <w:rPr>
          <w:rFonts w:hint="eastAsia" w:ascii="仿宋" w:hAnsi="仿宋" w:eastAsia="仿宋" w:cs="仿宋"/>
          <w:color w:val="auto"/>
          <w:kern w:val="0"/>
          <w:sz w:val="32"/>
          <w:szCs w:val="32"/>
          <w:lang w:val="en-US" w:eastAsia="zh-CN" w:bidi="ar"/>
        </w:rPr>
        <w:t>2020年度收、支总计2,138.84万元。与上年相比，减少153.08万元，减少6.68%。主要是因为项目支出减少。</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二、收入决算情况说明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本年</w:t>
      </w:r>
      <w:r>
        <w:rPr>
          <w:rFonts w:hint="eastAsia" w:ascii="仿宋" w:hAnsi="仿宋" w:eastAsia="仿宋" w:cs="仿宋"/>
          <w:color w:val="auto"/>
          <w:kern w:val="0"/>
          <w:sz w:val="32"/>
          <w:szCs w:val="32"/>
        </w:rPr>
        <w:t>收入合计2,138.84万元，其中：财政拨款收入2,138.84万元，占100.00%；上级补助收入0万元，占0.00%；事业收入0万元，占0.00%；经营收入0万元，占0.00%；附属单位上缴收入0万元，占0.00%；其他收入0万元，占0.00%。</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三、支出决算情况说明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eastAsia="zh-CN"/>
        </w:rPr>
        <w:t>本年</w:t>
      </w:r>
      <w:r>
        <w:rPr>
          <w:rFonts w:hint="eastAsia" w:ascii="仿宋" w:hAnsi="仿宋" w:eastAsia="仿宋" w:cs="仿宋"/>
          <w:color w:val="auto"/>
          <w:kern w:val="0"/>
          <w:sz w:val="32"/>
          <w:szCs w:val="32"/>
        </w:rPr>
        <w:t>支出合计2,138.84万元，其中：基本支出1,227.79万元，占57.40%；项目支出911.05万元，占42.60%</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上缴上级支出0万元，占0.00%；经营支出0万元，占0.00%；对附属单位补助支出0万元，占0.00%。</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eastAsia="zh-CN"/>
        </w:rPr>
        <w:t>四、</w:t>
      </w:r>
      <w:r>
        <w:rPr>
          <w:rFonts w:hint="eastAsia" w:ascii="仿宋" w:hAnsi="仿宋" w:eastAsia="仿宋" w:cs="仿宋"/>
          <w:b/>
          <w:bCs/>
          <w:color w:val="auto"/>
          <w:kern w:val="0"/>
          <w:sz w:val="32"/>
          <w:szCs w:val="32"/>
        </w:rPr>
        <w:t>财政拨款收入支出决算总体情况说明</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SA"/>
        </w:rPr>
        <w:t>2020年度财政拨款收、支总计2,138.84万元。与上年相比，减少153.08万元，减少6.68%。主要是因为贯彻落实党中央、国务院关于“过紧日子”有关要求，压减受疫情影响不再开展或暂缓开展的项目预算，项目支出减少。</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（一）财政拨款支出决算总体情况。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2020年度财政拨款支出1,544.77万元，占本年支出合计的72.22%。与上年相比，财政拨款支出减少214.86万元，减少12.21%。主要是因为其他体育支出减少。</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（二）财政拨款支出决算结构情况。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2020年度财政拨款支出1,544.77万元，主要用于以下方面：文化旅游体育与传媒（类）支出1544.77万元，占100.00%。</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（三）财政拨款支出决算具体情况。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2020年度财政拨款支出年初预算数为1,446.10万元，支出决算数为1,544.77万元，完成年初预算的106.82%。其中：</w:t>
      </w:r>
    </w:p>
    <w:p>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文化旅游体育与传媒（类）体育（款）运动项目管理（项）。</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年初预算为1346.42万元，支出决算为1420.98万元，完成年初预算的105%。决算数大于年初预算数的主要原因是新进人员及在职人员正常晋升导致人员经费和公用经费增加。</w:t>
      </w:r>
    </w:p>
    <w:p>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文化旅游体育与传媒（类）体育（款）体育训练（项）。</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年初预算为95.00万元，支出决算为93.82万元，完成年初预算的98%。决算数小于年初预算数的主要原因是受疫情影响，减少了部分体育训练。</w:t>
      </w:r>
    </w:p>
    <w:p>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文化旅游体育与传媒（类）体育（款）其他体育支出（项）。</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lang w:val="en-US" w:eastAsia="zh-CN" w:bidi="ar"/>
        </w:rPr>
        <w:t>年初预算为0万元，支出决算为29.97万元。决算数大于年初预算数的主要原因是未纳入年初部门预算，年中追加安排羽毛球、皮划艇、赛艇、篮球专项资金。</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bCs/>
          <w:color w:val="auto"/>
          <w:kern w:val="0"/>
          <w:sz w:val="32"/>
          <w:szCs w:val="32"/>
        </w:rPr>
      </w:pPr>
      <w:r>
        <w:rPr>
          <w:rFonts w:hint="eastAsia" w:ascii="仿宋" w:hAnsi="仿宋" w:eastAsia="仿宋" w:cs="仿宋"/>
          <w:color w:val="auto"/>
          <w:kern w:val="0"/>
          <w:sz w:val="32"/>
          <w:szCs w:val="32"/>
          <w:lang w:val="en-US" w:eastAsia="zh-CN" w:bidi="ar"/>
        </w:rPr>
        <w:t>2020年度财政拨款基本支出1,227.79万元。其中：人员经费1,173.16万元，占基本支出的95.55%。主要包括：基本工资、津贴补贴、奖金、绩效工资、机关事业单位基本养老保险缴费、职业年金缴费、职工基本医疗保险缴费、公务员医疗补助缴费、其他社会保障缴费、住房公积金、其他工资福利支出、退休费、奖励金；公用经费54.62万元，占基本支出的4.45%。主要包括：办公费、水费、邮电费、差旅费、维修（护）费、培训费、工会经费、福利费、其他交通费用、其他商品和服务支出。</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val="0"/>
          <w:bCs w:val="0"/>
          <w:color w:val="auto"/>
          <w:kern w:val="0"/>
          <w:sz w:val="32"/>
          <w:szCs w:val="32"/>
          <w:lang w:eastAsia="zh-CN"/>
        </w:rPr>
      </w:pPr>
      <w:r>
        <w:rPr>
          <w:rFonts w:hint="eastAsia" w:ascii="仿宋" w:hAnsi="仿宋" w:eastAsia="仿宋" w:cs="仿宋"/>
          <w:b w:val="0"/>
          <w:bCs w:val="0"/>
          <w:color w:val="auto"/>
          <w:kern w:val="0"/>
          <w:sz w:val="32"/>
          <w:szCs w:val="32"/>
          <w:lang w:eastAsia="zh-CN"/>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eastAsia="zh-CN"/>
        </w:rPr>
        <w:t>“三公”经费财政拨款支出预算为</w:t>
      </w:r>
      <w:r>
        <w:rPr>
          <w:rFonts w:hint="eastAsia" w:ascii="仿宋" w:hAnsi="仿宋" w:eastAsia="仿宋" w:cs="仿宋"/>
          <w:b w:val="0"/>
          <w:bCs w:val="0"/>
          <w:color w:val="auto"/>
          <w:kern w:val="0"/>
          <w:sz w:val="32"/>
          <w:szCs w:val="32"/>
          <w:lang w:val="en-US" w:eastAsia="zh-CN"/>
        </w:rPr>
        <w:t>0万元，支出决算为0万元，完成预算的0%，其中：</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因公出国（境）费支出预算为0万元，支出决算为0万元，完成预算的0%，决算数大于（小于）预算数的主要原因是无，与上年相比减少（增加）0万元，减少（增长）0%，减少（增长）的主要原因是无。</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公务接待费支出预算为0万元，支出决算为0万元，完成预算的0%，决算数大于（小于）预算数的主要原因是无，与上年相比减少（增加）0万元，减少（增长）0%，减少（增长）的主要原因是无。</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公务用车购置费及运行维护费支出预算为0万元，支出决算为0万元，完成预算的0%，决算数大于（小于）预算数的主要原因是无，与上年相比减少（增加）0万元，减少（增长）0%，减少（增长）的主要原因是无。</w:t>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“三公”经费财政拨款支出决算具体情况说明</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960" w:firstLineChars="300"/>
        <w:jc w:val="lef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2020年度“三公”经费财政拨款支出决算中，公务接待费支出决算0万元，占0%，因公出国（境）费支出决算0万元，占0%，公务用车购置费及运行维护费支出决算0万元，占0%。其中：</w:t>
      </w:r>
    </w:p>
    <w:p>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600" w:lineRule="exact"/>
        <w:ind w:firstLine="960" w:firstLineChars="300"/>
        <w:jc w:val="lef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因公出国（境）费支出决算为0万元，全年安排因公出国（境）团组0个，累计0人次。</w:t>
      </w:r>
    </w:p>
    <w:p>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600" w:lineRule="exact"/>
        <w:ind w:firstLine="960" w:firstLineChars="300"/>
        <w:jc w:val="left"/>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公务接待费支出决算为0万元，全年共接待来访团组0个、来宾0人次，主要是未发生接待支出。</w:t>
      </w:r>
    </w:p>
    <w:p>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600" w:lineRule="exact"/>
        <w:ind w:firstLine="960" w:firstLineChars="300"/>
        <w:jc w:val="left"/>
        <w:rPr>
          <w:rFonts w:hint="default"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公务用车购置费及运行维护费支出决算为0万元，其中：公务用车购置费0万元。公务用车运行维护费0万元，主要是无支出，截止2020年12月31日，我单位开支财政拨款的公务用车保有量为0辆。</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八、政府性基金预算</w:t>
      </w:r>
      <w:r>
        <w:rPr>
          <w:rFonts w:hint="eastAsia" w:ascii="仿宋" w:hAnsi="仿宋" w:eastAsia="仿宋" w:cs="仿宋"/>
          <w:b/>
          <w:bCs/>
          <w:color w:val="auto"/>
          <w:kern w:val="0"/>
          <w:sz w:val="32"/>
          <w:szCs w:val="32"/>
          <w:lang w:eastAsia="zh-CN"/>
        </w:rPr>
        <w:t>收入</w:t>
      </w:r>
      <w:r>
        <w:rPr>
          <w:rFonts w:hint="eastAsia" w:ascii="仿宋" w:hAnsi="仿宋" w:eastAsia="仿宋" w:cs="仿宋"/>
          <w:b/>
          <w:bCs/>
          <w:color w:val="auto"/>
          <w:kern w:val="0"/>
          <w:sz w:val="32"/>
          <w:szCs w:val="32"/>
        </w:rPr>
        <w:t>支出决算情况</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bidi="ar"/>
        </w:rPr>
        <w:t>2020年度政府性基金预算财政拨款收入594.06万元；年初结转和结余0万元；支出594.06万元，其中基本支出0万元，项目支出594.06万元；年末结转和结余0万元。</w:t>
      </w:r>
      <w:r>
        <w:rPr>
          <w:rFonts w:hint="eastAsia" w:ascii="仿宋" w:hAnsi="仿宋" w:eastAsia="仿宋" w:cs="仿宋"/>
          <w:color w:val="auto"/>
          <w:kern w:val="0"/>
          <w:sz w:val="32"/>
          <w:szCs w:val="32"/>
        </w:rPr>
        <w:t> </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eastAsia="zh-CN"/>
        </w:rPr>
        <w:t>九、关于</w:t>
      </w:r>
      <w:r>
        <w:rPr>
          <w:rFonts w:hint="eastAsia" w:ascii="仿宋" w:hAnsi="仿宋" w:eastAsia="仿宋" w:cs="仿宋"/>
          <w:b/>
          <w:bCs/>
          <w:color w:val="auto"/>
          <w:kern w:val="0"/>
          <w:sz w:val="32"/>
          <w:szCs w:val="32"/>
        </w:rPr>
        <w:t>机关运行经费支出说明</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0" w:firstLineChars="200"/>
        <w:jc w:val="left"/>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本部门2020年度机关运行经费支出54.62万元，比上年决算数增加7.8 万元，增长14.28%。主要原因是：其他交通费用和其他商品和服务支出增加。</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3" w:firstLineChars="200"/>
        <w:jc w:val="left"/>
        <w:rPr>
          <w:rFonts w:hint="eastAsia" w:ascii="仿宋" w:hAnsi="仿宋" w:eastAsia="仿宋" w:cs="仿宋"/>
          <w:color w:val="auto"/>
          <w:kern w:val="0"/>
          <w:sz w:val="32"/>
          <w:szCs w:val="32"/>
        </w:rPr>
      </w:pPr>
      <w:r>
        <w:rPr>
          <w:rFonts w:hint="eastAsia" w:ascii="仿宋" w:hAnsi="仿宋" w:eastAsia="仿宋" w:cs="仿宋"/>
          <w:b/>
          <w:bCs/>
          <w:color w:val="auto"/>
          <w:kern w:val="0"/>
          <w:sz w:val="32"/>
          <w:szCs w:val="32"/>
          <w:lang w:val="en-US" w:eastAsia="zh-CN"/>
        </w:rPr>
        <w:t>十、</w:t>
      </w:r>
      <w:r>
        <w:rPr>
          <w:rFonts w:hint="eastAsia" w:ascii="仿宋" w:hAnsi="仿宋" w:eastAsia="仿宋" w:cs="仿宋"/>
          <w:b/>
          <w:bCs/>
          <w:color w:val="auto"/>
          <w:kern w:val="0"/>
          <w:sz w:val="32"/>
          <w:szCs w:val="32"/>
        </w:rPr>
        <w:t>一般性支出情况</w:t>
      </w:r>
      <w:r>
        <w:rPr>
          <w:rFonts w:hint="eastAsia" w:ascii="仿宋" w:hAnsi="仿宋" w:eastAsia="仿宋" w:cs="仿宋"/>
          <w:b/>
          <w:bCs/>
          <w:color w:val="auto"/>
          <w:kern w:val="0"/>
          <w:sz w:val="32"/>
          <w:szCs w:val="32"/>
        </w:rPr>
        <w:br w:type="textWrapping"/>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lang w:val="en-US" w:eastAsia="zh-CN" w:bidi="ar"/>
        </w:rPr>
        <w:t xml:space="preserve"> 2020年本部门开支会议费0万元，用于召开会议，人数0人；开支培训费0.07万元，用于参加事业单位工勤技能岗位培训，人数1人，内容为工勤技能垃圾处理利用工一级、二级岗位考前培训；举办节庆、晚会、论坛、赛事活动，开支0万元。</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十</w:t>
      </w:r>
      <w:r>
        <w:rPr>
          <w:rFonts w:hint="eastAsia" w:ascii="仿宋" w:hAnsi="仿宋" w:eastAsia="仿宋" w:cs="仿宋"/>
          <w:b/>
          <w:bCs/>
          <w:color w:val="auto"/>
          <w:kern w:val="0"/>
          <w:sz w:val="32"/>
          <w:szCs w:val="32"/>
          <w:lang w:eastAsia="zh-CN"/>
        </w:rPr>
        <w:t>一</w:t>
      </w:r>
      <w:r>
        <w:rPr>
          <w:rFonts w:hint="eastAsia" w:ascii="仿宋" w:hAnsi="仿宋" w:eastAsia="仿宋" w:cs="仿宋"/>
          <w:b/>
          <w:bCs/>
          <w:color w:val="auto"/>
          <w:kern w:val="0"/>
          <w:sz w:val="32"/>
          <w:szCs w:val="32"/>
        </w:rPr>
        <w:t>、</w:t>
      </w:r>
      <w:r>
        <w:rPr>
          <w:rFonts w:hint="eastAsia" w:ascii="仿宋" w:hAnsi="仿宋" w:eastAsia="仿宋" w:cs="仿宋"/>
          <w:b/>
          <w:bCs/>
          <w:color w:val="auto"/>
          <w:kern w:val="0"/>
          <w:sz w:val="32"/>
          <w:szCs w:val="32"/>
          <w:lang w:eastAsia="zh-CN"/>
        </w:rPr>
        <w:t>关于</w:t>
      </w:r>
      <w:r>
        <w:rPr>
          <w:rFonts w:hint="eastAsia" w:ascii="仿宋" w:hAnsi="仿宋" w:eastAsia="仿宋" w:cs="仿宋"/>
          <w:b/>
          <w:bCs/>
          <w:color w:val="auto"/>
          <w:kern w:val="0"/>
          <w:sz w:val="32"/>
          <w:szCs w:val="32"/>
        </w:rPr>
        <w:t>政府采购支出说明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bidi="ar-SA"/>
        </w:rPr>
        <w:t>本部门2020年度政府采购支出总额187.06万元，其中：政府采购货物支出142.54万元、政府采购工程支出0.00万元、政府采购服务支出44.52万元。授予中小企业合同金额0.00万元，占政府采购支出总额的0%，其中：授予小微企业合同金额0.00万元，占政府采购支出总额的0%。</w:t>
      </w:r>
      <w:r>
        <w:rPr>
          <w:rFonts w:hint="eastAsia" w:ascii="仿宋" w:hAnsi="仿宋" w:eastAsia="仿宋" w:cs="仿宋"/>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十</w:t>
      </w:r>
      <w:r>
        <w:rPr>
          <w:rFonts w:hint="eastAsia" w:ascii="仿宋" w:hAnsi="仿宋" w:eastAsia="仿宋" w:cs="仿宋"/>
          <w:b/>
          <w:bCs/>
          <w:color w:val="auto"/>
          <w:kern w:val="0"/>
          <w:sz w:val="32"/>
          <w:szCs w:val="32"/>
          <w:lang w:eastAsia="zh-CN"/>
        </w:rPr>
        <w:t>二</w:t>
      </w:r>
      <w:r>
        <w:rPr>
          <w:rFonts w:hint="eastAsia" w:ascii="仿宋" w:hAnsi="仿宋" w:eastAsia="仿宋" w:cs="仿宋"/>
          <w:b/>
          <w:bCs/>
          <w:color w:val="auto"/>
          <w:kern w:val="0"/>
          <w:sz w:val="32"/>
          <w:szCs w:val="32"/>
        </w:rPr>
        <w:t>、</w:t>
      </w:r>
      <w:r>
        <w:rPr>
          <w:rFonts w:hint="eastAsia" w:ascii="仿宋" w:hAnsi="仿宋" w:eastAsia="仿宋" w:cs="仿宋"/>
          <w:b/>
          <w:bCs/>
          <w:color w:val="auto"/>
          <w:kern w:val="0"/>
          <w:sz w:val="32"/>
          <w:szCs w:val="32"/>
          <w:lang w:eastAsia="zh-CN"/>
        </w:rPr>
        <w:t>关于</w:t>
      </w:r>
      <w:r>
        <w:rPr>
          <w:rFonts w:hint="eastAsia" w:ascii="仿宋" w:hAnsi="仿宋" w:eastAsia="仿宋" w:cs="仿宋"/>
          <w:b/>
          <w:bCs/>
          <w:color w:val="auto"/>
          <w:kern w:val="0"/>
          <w:sz w:val="32"/>
          <w:szCs w:val="32"/>
        </w:rPr>
        <w:t>国有资产占用情况说明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截至</w:t>
      </w:r>
      <w:r>
        <w:rPr>
          <w:rFonts w:hint="eastAsia" w:ascii="仿宋" w:hAnsi="仿宋" w:eastAsia="仿宋" w:cs="仿宋"/>
          <w:color w:val="auto"/>
          <w:kern w:val="0"/>
          <w:sz w:val="32"/>
          <w:szCs w:val="32"/>
        </w:rPr>
        <w:t>2020年</w:t>
      </w:r>
      <w:r>
        <w:rPr>
          <w:rFonts w:hint="eastAsia" w:ascii="仿宋" w:hAnsi="仿宋" w:eastAsia="仿宋" w:cs="仿宋"/>
          <w:color w:val="auto"/>
          <w:kern w:val="0"/>
          <w:sz w:val="32"/>
          <w:szCs w:val="32"/>
          <w:lang w:val="en-US" w:eastAsia="zh-CN"/>
        </w:rPr>
        <w:t>12月31日</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本</w:t>
      </w:r>
      <w:r>
        <w:rPr>
          <w:rFonts w:hint="eastAsia" w:ascii="仿宋" w:hAnsi="仿宋" w:eastAsia="仿宋" w:cs="仿宋"/>
          <w:color w:val="auto"/>
          <w:kern w:val="0"/>
          <w:sz w:val="32"/>
          <w:szCs w:val="32"/>
        </w:rPr>
        <w:t>单位共有车辆</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kern w:val="0"/>
          <w:sz w:val="32"/>
          <w:szCs w:val="32"/>
        </w:rPr>
        <w:t>辆</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其中</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主要领导干部用车0辆、机要通信用车0辆、应急保障</w:t>
      </w:r>
      <w:r>
        <w:rPr>
          <w:rFonts w:hint="eastAsia" w:ascii="仿宋" w:hAnsi="仿宋" w:eastAsia="仿宋" w:cs="仿宋"/>
          <w:color w:val="auto"/>
          <w:kern w:val="0"/>
          <w:sz w:val="32"/>
          <w:szCs w:val="32"/>
          <w:lang w:eastAsia="zh-CN"/>
        </w:rPr>
        <w:t>用</w:t>
      </w:r>
      <w:r>
        <w:rPr>
          <w:rFonts w:hint="eastAsia" w:ascii="仿宋" w:hAnsi="仿宋" w:eastAsia="仿宋" w:cs="仿宋"/>
          <w:color w:val="auto"/>
          <w:kern w:val="0"/>
          <w:sz w:val="32"/>
          <w:szCs w:val="32"/>
        </w:rPr>
        <w:t>车0辆、执法执勤用车0辆、特种专业技术用车0辆、其他用车0辆；单位价值50万元以上通用设备0台（套），单位价值100万元以上专用设备0台（套）。</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rPr>
      </w:pPr>
    </w:p>
    <w:p>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600" w:lineRule="exact"/>
        <w:ind w:left="0" w:leftChars="0"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关于2020年度预算绩效情况的说明</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Chars="200"/>
        <w:jc w:val="left"/>
        <w:rPr>
          <w:rFonts w:hint="default"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 xml:space="preserve">      </w:t>
      </w:r>
      <w:bookmarkStart w:id="24" w:name="_GoBack"/>
      <w:bookmarkEnd w:id="24"/>
      <w:r>
        <w:rPr>
          <w:rFonts w:hint="eastAsia" w:ascii="仿宋" w:hAnsi="仿宋" w:eastAsia="仿宋" w:cs="仿宋"/>
          <w:b/>
          <w:bCs/>
          <w:color w:val="auto"/>
          <w:kern w:val="0"/>
          <w:sz w:val="32"/>
          <w:szCs w:val="32"/>
          <w:lang w:val="en-US" w:eastAsia="zh-CN"/>
        </w:rPr>
        <w:t>（重点项目预算的绩效目标等情况说明）</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本部门预算绩效管理</w:t>
      </w:r>
      <w:r>
        <w:rPr>
          <w:rFonts w:hint="eastAsia" w:ascii="仿宋" w:hAnsi="仿宋" w:eastAsia="仿宋" w:cs="仿宋"/>
          <w:color w:val="auto"/>
          <w:kern w:val="0"/>
          <w:sz w:val="32"/>
          <w:szCs w:val="32"/>
          <w:lang w:eastAsia="zh-CN"/>
        </w:rPr>
        <w:t>开展情况、绩效目标和绩效评价报告等，特别是重点项目预算绩效评价结果的情况说明</w:t>
      </w:r>
      <w:r>
        <w:rPr>
          <w:rFonts w:hint="eastAsia" w:ascii="仿宋" w:hAnsi="仿宋" w:eastAsia="仿宋" w:cs="仿宋"/>
          <w:color w:val="auto"/>
          <w:kern w:val="0"/>
          <w:sz w:val="32"/>
          <w:szCs w:val="32"/>
          <w:lang w:val="en-US" w:eastAsia="zh-CN"/>
        </w:rPr>
        <w:t>按照市财政有关文件精神进行了自评并上报。</w:t>
      </w:r>
      <w:r>
        <w:rPr>
          <w:rFonts w:hint="eastAsia" w:ascii="仿宋" w:hAnsi="仿宋" w:eastAsia="仿宋" w:cs="仿宋"/>
          <w:color w:val="auto"/>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1767" w:firstLineChars="400"/>
        <w:jc w:val="both"/>
        <w:textAlignment w:val="auto"/>
        <w:rPr>
          <w:rFonts w:hint="eastAsia" w:ascii="仿宋" w:hAnsi="仿宋" w:eastAsia="仿宋" w:cs="仿宋"/>
          <w:b/>
          <w:bCs/>
          <w:color w:val="auto"/>
          <w:kern w:val="0"/>
          <w:sz w:val="44"/>
          <w:szCs w:val="44"/>
        </w:rPr>
      </w:pPr>
    </w:p>
    <w:p>
      <w:pPr>
        <w:rPr>
          <w:rFonts w:hint="eastAsia" w:ascii="仿宋" w:hAnsi="仿宋" w:eastAsia="仿宋" w:cs="仿宋"/>
          <w:b w:val="0"/>
          <w:bCs w:val="0"/>
          <w:color w:val="auto"/>
          <w:kern w:val="0"/>
          <w:sz w:val="44"/>
          <w:szCs w:val="44"/>
        </w:rPr>
      </w:pPr>
      <w:r>
        <w:rPr>
          <w:rFonts w:hint="eastAsia" w:ascii="仿宋" w:hAnsi="仿宋" w:eastAsia="仿宋" w:cs="仿宋"/>
          <w:b w:val="0"/>
          <w:bCs w:val="0"/>
          <w:color w:val="auto"/>
          <w:kern w:val="0"/>
          <w:sz w:val="44"/>
          <w:szCs w:val="44"/>
        </w:rPr>
        <w:br w:type="page"/>
      </w: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4"/>
          <w:szCs w:val="44"/>
          <w:lang w:val="en-US" w:eastAsia="zh-CN"/>
        </w:rPr>
      </w:pPr>
      <w:r>
        <w:rPr>
          <w:rFonts w:hint="eastAsia" w:ascii="仿宋" w:hAnsi="仿宋" w:eastAsia="仿宋" w:cs="仿宋"/>
          <w:b/>
          <w:bCs/>
          <w:color w:val="auto"/>
          <w:kern w:val="0"/>
          <w:sz w:val="44"/>
          <w:szCs w:val="44"/>
        </w:rPr>
        <w:t>第四部分</w:t>
      </w: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9" w:firstLineChars="500"/>
        <w:jc w:val="center"/>
        <w:textAlignment w:val="auto"/>
        <w:rPr>
          <w:rFonts w:hint="eastAsia" w:ascii="仿宋" w:hAnsi="仿宋" w:eastAsia="仿宋" w:cs="仿宋"/>
          <w:b/>
          <w:bCs/>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rPr>
        <w:t>名词解释</w:t>
      </w:r>
    </w:p>
    <w:p>
      <w:pPr>
        <w:rPr>
          <w:rFonts w:hint="eastAsia" w:ascii="仿宋" w:hAnsi="仿宋" w:eastAsia="仿宋" w:cs="仿宋"/>
          <w:b w:val="0"/>
          <w:bCs w:val="0"/>
          <w:color w:val="auto"/>
          <w:kern w:val="0"/>
          <w:sz w:val="44"/>
          <w:szCs w:val="44"/>
        </w:rPr>
      </w:pPr>
      <w:r>
        <w:rPr>
          <w:rFonts w:hint="eastAsia" w:ascii="仿宋" w:hAnsi="仿宋" w:eastAsia="仿宋" w:cs="仿宋"/>
          <w:b w:val="0"/>
          <w:bCs w:val="0"/>
          <w:color w:val="auto"/>
          <w:kern w:val="0"/>
          <w:sz w:val="44"/>
          <w:szCs w:val="44"/>
        </w:rPr>
        <w:br w:type="page"/>
      </w:r>
    </w:p>
    <w:p>
      <w:pPr>
        <w:keepNext w:val="0"/>
        <w:keepLines w:val="0"/>
        <w:pageBreakBefore w:val="0"/>
        <w:widowControl/>
        <w:numPr>
          <w:ilvl w:val="0"/>
          <w:numId w:val="7"/>
        </w:numPr>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财政拨款收入：</w:t>
      </w:r>
      <w:r>
        <w:rPr>
          <w:rFonts w:hint="eastAsia" w:ascii="仿宋" w:hAnsi="仿宋" w:eastAsia="仿宋" w:cs="仿宋"/>
          <w:color w:val="auto"/>
          <w:sz w:val="32"/>
          <w:szCs w:val="32"/>
          <w:lang w:eastAsia="zh-CN"/>
        </w:rPr>
        <w:t>指财政当年拨付的资金。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600"/>
        <w:jc w:val="left"/>
        <w:rPr>
          <w:rFonts w:hint="eastAsia" w:ascii="仿宋" w:hAnsi="仿宋" w:eastAsia="仿宋" w:cs="仿宋"/>
          <w:color w:val="auto"/>
          <w:sz w:val="32"/>
          <w:szCs w:val="32"/>
        </w:rPr>
      </w:pPr>
      <w:r>
        <w:rPr>
          <w:rFonts w:hint="eastAsia" w:ascii="仿宋" w:hAnsi="仿宋" w:eastAsia="仿宋" w:cs="仿宋"/>
          <w:b/>
          <w:bCs/>
          <w:color w:val="auto"/>
          <w:kern w:val="2"/>
          <w:sz w:val="32"/>
          <w:szCs w:val="32"/>
          <w:lang w:val="en-US" w:eastAsia="zh-CN" w:bidi="ar-SA"/>
        </w:rPr>
        <w:t>二、文化旅游体育与传媒支出（类）体育（款）运动项目管理（项）：</w:t>
      </w:r>
      <w:r>
        <w:rPr>
          <w:rFonts w:hint="eastAsia" w:ascii="仿宋" w:hAnsi="仿宋" w:eastAsia="仿宋" w:cs="仿宋"/>
          <w:color w:val="auto"/>
          <w:sz w:val="32"/>
          <w:szCs w:val="32"/>
        </w:rPr>
        <w:t>主要反映</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的日常管理支出。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600"/>
        <w:jc w:val="left"/>
        <w:rPr>
          <w:rFonts w:hint="eastAsia" w:ascii="仿宋" w:hAnsi="仿宋" w:eastAsia="仿宋" w:cs="仿宋"/>
          <w:b w:val="0"/>
          <w:bCs w:val="0"/>
          <w:i w:val="0"/>
          <w:iCs w:val="0"/>
          <w:caps w:val="0"/>
          <w:color w:val="auto"/>
          <w:spacing w:val="0"/>
          <w:sz w:val="21"/>
          <w:szCs w:val="21"/>
        </w:rPr>
      </w:pPr>
      <w:r>
        <w:rPr>
          <w:rFonts w:hint="eastAsia" w:ascii="仿宋" w:hAnsi="仿宋" w:eastAsia="仿宋" w:cs="仿宋"/>
          <w:b/>
          <w:bCs/>
          <w:color w:val="auto"/>
          <w:kern w:val="2"/>
          <w:sz w:val="32"/>
          <w:szCs w:val="32"/>
          <w:lang w:val="en-US" w:eastAsia="zh-CN" w:bidi="ar-SA"/>
        </w:rPr>
        <w:t>三、文化旅游体育与传媒支出（类）体育（款）体育训练（项）：</w:t>
      </w:r>
      <w:r>
        <w:rPr>
          <w:rFonts w:hint="eastAsia" w:ascii="仿宋" w:hAnsi="仿宋" w:eastAsia="仿宋" w:cs="仿宋"/>
          <w:color w:val="auto"/>
          <w:sz w:val="32"/>
          <w:szCs w:val="32"/>
        </w:rPr>
        <w:t>主要反映</w:t>
      </w:r>
      <w:r>
        <w:rPr>
          <w:rFonts w:hint="eastAsia" w:ascii="仿宋" w:hAnsi="仿宋" w:eastAsia="仿宋" w:cs="仿宋"/>
          <w:color w:val="auto"/>
          <w:sz w:val="32"/>
          <w:szCs w:val="32"/>
          <w:lang w:eastAsia="zh-CN"/>
        </w:rPr>
        <w:t>体育</w:t>
      </w:r>
      <w:r>
        <w:rPr>
          <w:rFonts w:hint="eastAsia" w:ascii="仿宋" w:hAnsi="仿宋" w:eastAsia="仿宋" w:cs="仿宋"/>
          <w:color w:val="auto"/>
          <w:sz w:val="32"/>
          <w:szCs w:val="32"/>
        </w:rPr>
        <w:t>训练及器材购置等方面的支出。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600"/>
        <w:jc w:val="left"/>
        <w:rPr>
          <w:rFonts w:hint="eastAsia" w:ascii="仿宋" w:hAnsi="仿宋" w:eastAsia="仿宋" w:cs="仿宋"/>
          <w:color w:val="auto"/>
          <w:sz w:val="32"/>
          <w:szCs w:val="32"/>
        </w:rPr>
      </w:pPr>
      <w:r>
        <w:rPr>
          <w:rFonts w:hint="eastAsia" w:ascii="仿宋" w:hAnsi="仿宋" w:eastAsia="仿宋" w:cs="仿宋"/>
          <w:b/>
          <w:bCs/>
          <w:color w:val="auto"/>
          <w:kern w:val="2"/>
          <w:sz w:val="32"/>
          <w:szCs w:val="32"/>
          <w:lang w:val="en-US" w:eastAsia="zh-CN" w:bidi="ar-SA"/>
        </w:rPr>
        <w:t>四、文化旅游体育与传媒支出（类）体育（款）其他体育支出（项）：</w:t>
      </w:r>
      <w:r>
        <w:rPr>
          <w:rFonts w:hint="eastAsia" w:ascii="仿宋" w:hAnsi="仿宋" w:eastAsia="仿宋" w:cs="仿宋"/>
          <w:color w:val="auto"/>
          <w:sz w:val="32"/>
          <w:szCs w:val="32"/>
        </w:rPr>
        <w:t>主要反映除上述项目以外其他用于</w:t>
      </w:r>
      <w:r>
        <w:rPr>
          <w:rFonts w:hint="eastAsia" w:ascii="仿宋" w:hAnsi="仿宋" w:eastAsia="仿宋" w:cs="仿宋"/>
          <w:color w:val="auto"/>
          <w:sz w:val="32"/>
          <w:szCs w:val="32"/>
          <w:lang w:eastAsia="zh-CN"/>
        </w:rPr>
        <w:t>群众体育活动开展和体育后备人才培养</w:t>
      </w:r>
      <w:r>
        <w:rPr>
          <w:rFonts w:hint="eastAsia" w:ascii="仿宋" w:hAnsi="仿宋" w:eastAsia="仿宋" w:cs="仿宋"/>
          <w:color w:val="auto"/>
          <w:sz w:val="32"/>
          <w:szCs w:val="32"/>
        </w:rPr>
        <w:t>的支出。</w:t>
      </w:r>
      <w:r>
        <w:rPr>
          <w:rFonts w:hint="eastAsia" w:ascii="仿宋" w:hAnsi="仿宋" w:eastAsia="仿宋" w:cs="仿宋"/>
          <w:color w:val="auto"/>
          <w:sz w:val="32"/>
          <w:szCs w:val="32"/>
        </w:rPr>
        <w:br w:type="textWrapping"/>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五</w:t>
      </w:r>
      <w:r>
        <w:rPr>
          <w:rFonts w:hint="eastAsia" w:ascii="仿宋" w:hAnsi="仿宋" w:eastAsia="仿宋" w:cs="仿宋"/>
          <w:b/>
          <w:bCs/>
          <w:color w:val="auto"/>
          <w:sz w:val="32"/>
          <w:szCs w:val="32"/>
        </w:rPr>
        <w:t>、基本支出：</w:t>
      </w:r>
      <w:r>
        <w:rPr>
          <w:rFonts w:hint="eastAsia" w:ascii="仿宋" w:hAnsi="仿宋" w:eastAsia="仿宋" w:cs="仿宋"/>
          <w:color w:val="auto"/>
          <w:sz w:val="32"/>
          <w:szCs w:val="32"/>
        </w:rPr>
        <w:t>指单位为保障其机构正常运转、完成日常工作任务而发生的人员支出和公用支出。</w:t>
      </w:r>
      <w:r>
        <w:rPr>
          <w:rFonts w:hint="eastAsia" w:ascii="仿宋" w:hAnsi="仿宋" w:eastAsia="仿宋" w:cs="仿宋"/>
          <w:color w:val="auto"/>
          <w:sz w:val="32"/>
          <w:szCs w:val="32"/>
        </w:rPr>
        <w:br w:type="textWrapping"/>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六</w:t>
      </w:r>
      <w:r>
        <w:rPr>
          <w:rFonts w:hint="eastAsia" w:ascii="仿宋" w:hAnsi="仿宋" w:eastAsia="仿宋" w:cs="仿宋"/>
          <w:b/>
          <w:bCs/>
          <w:color w:val="auto"/>
          <w:sz w:val="32"/>
          <w:szCs w:val="32"/>
        </w:rPr>
        <w:t>、项目支出：</w:t>
      </w:r>
      <w:r>
        <w:rPr>
          <w:rFonts w:hint="eastAsia" w:ascii="仿宋" w:hAnsi="仿宋" w:eastAsia="仿宋" w:cs="仿宋"/>
          <w:color w:val="auto"/>
          <w:sz w:val="32"/>
          <w:szCs w:val="32"/>
        </w:rPr>
        <w:t>指单位为完成特定行政任务和事业发展目标在基本支出之外所发生的支出。</w:t>
      </w:r>
      <w:r>
        <w:rPr>
          <w:rFonts w:hint="eastAsia" w:ascii="仿宋" w:hAnsi="仿宋" w:eastAsia="仿宋" w:cs="仿宋"/>
          <w:color w:val="auto"/>
          <w:sz w:val="32"/>
          <w:szCs w:val="32"/>
        </w:rPr>
        <w:br w:type="textWrapping"/>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七</w:t>
      </w:r>
      <w:r>
        <w:rPr>
          <w:rFonts w:hint="eastAsia" w:ascii="仿宋" w:hAnsi="仿宋" w:eastAsia="仿宋" w:cs="仿宋"/>
          <w:b/>
          <w:bCs/>
          <w:color w:val="auto"/>
          <w:sz w:val="32"/>
          <w:szCs w:val="32"/>
        </w:rPr>
        <w:t>、“三公”经费：</w:t>
      </w:r>
      <w:r>
        <w:rPr>
          <w:rFonts w:hint="eastAsia" w:ascii="仿宋" w:hAnsi="仿宋" w:eastAsia="仿宋" w:cs="仿宋"/>
          <w:color w:val="auto"/>
          <w:sz w:val="32"/>
          <w:szCs w:val="32"/>
        </w:rPr>
        <w:t>纳入长沙市财政预决算管理的“三公”经费，是指长沙市市直部门用财政拨款安排的因公出国（境）、公务用车购置及运行费和公务接待费，是党政机关维持运转或完成特定工作任务所开支的相关支出，是政府行政开支的一部分。主要支出为公务接待费，反映单位按规定开支的各类公务接待（含外宾接待）支出。</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b/>
          <w:bCs/>
          <w:color w:val="auto"/>
          <w:sz w:val="32"/>
          <w:szCs w:val="32"/>
          <w:lang w:eastAsia="zh-CN"/>
        </w:rPr>
        <w:t>八</w:t>
      </w:r>
      <w:r>
        <w:rPr>
          <w:rFonts w:hint="eastAsia" w:ascii="仿宋" w:hAnsi="仿宋" w:eastAsia="仿宋" w:cs="仿宋"/>
          <w:b/>
          <w:bCs/>
          <w:color w:val="auto"/>
          <w:sz w:val="32"/>
          <w:szCs w:val="32"/>
        </w:rPr>
        <w:t>、机关运行经费：</w:t>
      </w:r>
      <w:r>
        <w:rPr>
          <w:rFonts w:hint="eastAsia" w:ascii="仿宋" w:hAnsi="仿宋" w:eastAsia="仿宋" w:cs="仿宋"/>
          <w:color w:val="auto"/>
          <w:sz w:val="32"/>
          <w:szCs w:val="32"/>
        </w:rPr>
        <w:t>指行政单位和参照公务员法管理的事业单位使用一般公共预算财政拨款安排的基本支出中的日常</w:t>
      </w:r>
      <w:r>
        <w:rPr>
          <w:rFonts w:hint="eastAsia" w:ascii="仿宋" w:hAnsi="仿宋" w:eastAsia="仿宋" w:cs="仿宋"/>
          <w:color w:val="auto"/>
          <w:sz w:val="32"/>
          <w:szCs w:val="32"/>
          <w:lang w:eastAsia="zh-CN"/>
        </w:rPr>
        <w:t>公</w:t>
      </w:r>
      <w:r>
        <w:rPr>
          <w:rFonts w:hint="eastAsia" w:ascii="仿宋" w:hAnsi="仿宋" w:eastAsia="仿宋" w:cs="仿宋"/>
          <w:color w:val="auto"/>
          <w:sz w:val="32"/>
          <w:szCs w:val="32"/>
        </w:rPr>
        <w:t>用经费支出</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0"/>
          <w:szCs w:val="30"/>
        </w:rPr>
        <w:t> </w:t>
      </w: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0" w:firstLineChars="500"/>
        <w:jc w:val="both"/>
        <w:textAlignment w:val="auto"/>
        <w:rPr>
          <w:rFonts w:hint="eastAsia" w:ascii="仿宋" w:hAnsi="仿宋" w:eastAsia="仿宋" w:cs="仿宋"/>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eastAsia" w:ascii="仿宋" w:hAnsi="仿宋" w:eastAsia="仿宋" w:cs="仿宋"/>
          <w:b/>
          <w:bCs/>
          <w:color w:val="auto"/>
          <w:kern w:val="0"/>
          <w:sz w:val="44"/>
          <w:szCs w:val="44"/>
          <w:lang w:val="en-US" w:eastAsia="zh-CN"/>
        </w:rPr>
      </w:pPr>
      <w:r>
        <w:rPr>
          <w:rFonts w:hint="eastAsia" w:ascii="仿宋" w:hAnsi="仿宋" w:eastAsia="仿宋" w:cs="仿宋"/>
          <w:b/>
          <w:bCs/>
          <w:color w:val="auto"/>
          <w:kern w:val="0"/>
          <w:sz w:val="44"/>
          <w:szCs w:val="44"/>
        </w:rPr>
        <w:t>第</w:t>
      </w:r>
      <w:r>
        <w:rPr>
          <w:rFonts w:hint="eastAsia" w:ascii="仿宋" w:hAnsi="仿宋" w:eastAsia="仿宋" w:cs="仿宋"/>
          <w:b/>
          <w:bCs/>
          <w:color w:val="auto"/>
          <w:kern w:val="0"/>
          <w:sz w:val="44"/>
          <w:szCs w:val="44"/>
          <w:lang w:eastAsia="zh-CN"/>
        </w:rPr>
        <w:t>五</w:t>
      </w:r>
      <w:r>
        <w:rPr>
          <w:rFonts w:hint="eastAsia" w:ascii="仿宋" w:hAnsi="仿宋" w:eastAsia="仿宋" w:cs="仿宋"/>
          <w:b/>
          <w:bCs/>
          <w:color w:val="auto"/>
          <w:kern w:val="0"/>
          <w:sz w:val="44"/>
          <w:szCs w:val="44"/>
        </w:rPr>
        <w:t>部分</w:t>
      </w:r>
    </w:p>
    <w:p>
      <w:pPr>
        <w:keepNext w:val="0"/>
        <w:keepLines w:val="0"/>
        <w:pageBreakBefore w:val="0"/>
        <w:widowControl/>
        <w:kinsoku/>
        <w:wordWrap/>
        <w:overflowPunct/>
        <w:topLinePunct w:val="0"/>
        <w:autoSpaceDE/>
        <w:autoSpaceDN/>
        <w:bidi w:val="0"/>
        <w:adjustRightInd/>
        <w:snapToGrid/>
        <w:spacing w:beforeAutospacing="0" w:afterAutospacing="0" w:line="800" w:lineRule="exact"/>
        <w:ind w:firstLine="2209" w:firstLineChars="500"/>
        <w:jc w:val="both"/>
        <w:textAlignment w:val="auto"/>
        <w:rPr>
          <w:rFonts w:hint="default" w:ascii="仿宋" w:hAnsi="仿宋" w:eastAsia="仿宋" w:cs="仿宋"/>
          <w:b/>
          <w:bCs/>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800" w:lineRule="exact"/>
        <w:jc w:val="center"/>
        <w:textAlignment w:val="auto"/>
        <w:rPr>
          <w:rFonts w:hint="default" w:ascii="仿宋" w:hAnsi="仿宋" w:eastAsia="仿宋" w:cs="仿宋"/>
          <w:b/>
          <w:bCs/>
          <w:color w:val="auto"/>
          <w:kern w:val="0"/>
          <w:sz w:val="44"/>
          <w:szCs w:val="44"/>
          <w:lang w:val="en-US" w:eastAsia="zh-CN"/>
        </w:rPr>
      </w:pPr>
      <w:r>
        <w:rPr>
          <w:rFonts w:hint="eastAsia" w:ascii="仿宋" w:hAnsi="仿宋" w:eastAsia="仿宋" w:cs="仿宋"/>
          <w:b/>
          <w:bCs/>
          <w:color w:val="auto"/>
          <w:kern w:val="0"/>
          <w:sz w:val="44"/>
          <w:szCs w:val="44"/>
          <w:lang w:val="en-US" w:eastAsia="zh-CN"/>
        </w:rPr>
        <w:t>附件</w:t>
      </w:r>
    </w:p>
    <w:p>
      <w:pPr>
        <w:rPr>
          <w:rFonts w:hint="eastAsia" w:ascii="仿宋" w:hAnsi="仿宋" w:eastAsia="仿宋" w:cs="仿宋"/>
          <w:b/>
          <w:bCs/>
          <w:color w:val="auto"/>
          <w:kern w:val="0"/>
          <w:sz w:val="44"/>
          <w:szCs w:val="44"/>
        </w:rPr>
      </w:pPr>
      <w:r>
        <w:rPr>
          <w:rFonts w:hint="eastAsia" w:ascii="仿宋" w:hAnsi="仿宋" w:eastAsia="仿宋" w:cs="仿宋"/>
          <w:b w:val="0"/>
          <w:bCs w:val="0"/>
          <w:color w:val="auto"/>
          <w:kern w:val="0"/>
          <w:sz w:val="44"/>
          <w:szCs w:val="44"/>
        </w:rPr>
        <w:br w:type="page"/>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仿宋" w:hAnsi="仿宋" w:eastAsia="仿宋" w:cs="仿宋"/>
          <w:b/>
          <w:bCs/>
          <w:color w:val="auto"/>
          <w:kern w:val="0"/>
          <w:sz w:val="44"/>
          <w:szCs w:val="44"/>
          <w:lang w:val="en-US" w:eastAsia="zh-CN"/>
        </w:rPr>
      </w:pPr>
      <w:r>
        <w:rPr>
          <w:rFonts w:hint="eastAsia" w:ascii="仿宋" w:hAnsi="仿宋" w:eastAsia="仿宋" w:cs="仿宋"/>
          <w:b/>
          <w:bCs/>
          <w:color w:val="auto"/>
          <w:kern w:val="0"/>
          <w:sz w:val="44"/>
          <w:szCs w:val="44"/>
        </w:rPr>
        <w:t>2020年度</w:t>
      </w:r>
      <w:r>
        <w:rPr>
          <w:rFonts w:hint="eastAsia" w:ascii="仿宋" w:hAnsi="仿宋" w:eastAsia="仿宋" w:cs="仿宋"/>
          <w:b/>
          <w:bCs/>
          <w:color w:val="auto"/>
          <w:kern w:val="0"/>
          <w:sz w:val="44"/>
          <w:szCs w:val="44"/>
          <w:lang w:val="en-US" w:eastAsia="zh-CN"/>
        </w:rPr>
        <w:t>长沙市体育训练竞赛管理中心</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仿宋" w:hAnsi="仿宋" w:eastAsia="仿宋" w:cs="仿宋"/>
          <w:b/>
          <w:bCs/>
          <w:color w:val="auto"/>
          <w:kern w:val="0"/>
          <w:sz w:val="44"/>
          <w:szCs w:val="44"/>
        </w:rPr>
      </w:pPr>
      <w:r>
        <w:rPr>
          <w:rFonts w:hint="eastAsia" w:ascii="仿宋" w:hAnsi="仿宋" w:eastAsia="仿宋" w:cs="仿宋"/>
          <w:b/>
          <w:bCs/>
          <w:color w:val="auto"/>
          <w:kern w:val="0"/>
          <w:sz w:val="44"/>
          <w:szCs w:val="44"/>
        </w:rPr>
        <w:t>部门整体支出绩效</w:t>
      </w:r>
      <w:r>
        <w:rPr>
          <w:rFonts w:hint="eastAsia" w:ascii="仿宋" w:hAnsi="仿宋" w:eastAsia="仿宋" w:cs="仿宋"/>
          <w:b/>
          <w:bCs/>
          <w:color w:val="auto"/>
          <w:kern w:val="0"/>
          <w:sz w:val="44"/>
          <w:szCs w:val="44"/>
          <w:lang w:val="en-US" w:eastAsia="zh-CN"/>
        </w:rPr>
        <w:t>自评</w:t>
      </w:r>
      <w:r>
        <w:rPr>
          <w:rFonts w:hint="eastAsia" w:ascii="仿宋" w:hAnsi="仿宋" w:eastAsia="仿宋" w:cs="仿宋"/>
          <w:b/>
          <w:bCs/>
          <w:color w:val="auto"/>
          <w:kern w:val="0"/>
          <w:sz w:val="44"/>
          <w:szCs w:val="44"/>
        </w:rPr>
        <w:t>报告</w:t>
      </w:r>
    </w:p>
    <w:p>
      <w:pPr>
        <w:pStyle w:val="2"/>
        <w:spacing w:line="360" w:lineRule="auto"/>
        <w:rPr>
          <w:rFonts w:hint="eastAsia" w:ascii="仿宋" w:hAnsi="仿宋" w:eastAsia="仿宋" w:cs="仿宋"/>
          <w:color w:val="auto"/>
        </w:rPr>
      </w:pPr>
      <w:bookmarkStart w:id="0" w:name="_Toc19990"/>
      <w:r>
        <w:rPr>
          <w:rFonts w:hint="eastAsia" w:ascii="仿宋" w:hAnsi="仿宋" w:eastAsia="仿宋" w:cs="仿宋"/>
          <w:color w:val="auto"/>
        </w:rPr>
        <w:t>一、部门概况</w:t>
      </w:r>
      <w:bookmarkEnd w:id="0"/>
    </w:p>
    <w:p>
      <w:pPr>
        <w:pStyle w:val="3"/>
        <w:spacing w:line="240" w:lineRule="auto"/>
        <w:rPr>
          <w:rFonts w:hint="eastAsia" w:ascii="仿宋" w:hAnsi="仿宋" w:eastAsia="仿宋" w:cs="仿宋"/>
          <w:color w:val="auto"/>
        </w:rPr>
      </w:pPr>
      <w:bookmarkStart w:id="1" w:name="_Toc19311"/>
      <w:r>
        <w:rPr>
          <w:rFonts w:hint="eastAsia" w:ascii="仿宋" w:hAnsi="仿宋" w:eastAsia="仿宋" w:cs="仿宋"/>
          <w:color w:val="auto"/>
        </w:rPr>
        <w:t>（一）单位基本情况</w:t>
      </w:r>
      <w:bookmarkEnd w:id="1"/>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1、主要职责职能</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长沙市体育训练竞赛管理中心（长沙市青少年体育运动学校）于2008年12月由原长沙市青少年体育学校、长沙市业余训练管理指导中心、长沙市水上运动训练基地等三单位合并组建而成，为长沙市体育局直属副县级、全额拨款事业单位，主要负责全市球类、水上运动、田径、游泳、武术等17个项目的青少年竞技体育及体育后备人才的训练、输送、比赛。中心现拥有篮球训练馆、羽毛球训练馆、乒乓球训练馆、网球室内训练房、跳水陆上训练房、体能训练馆等训练设施。训练场馆总建筑面积4897平方米。训练中心2010年4月被中共长沙市委、长沙市人民政府授予“文明单位”荣誉称号，并一直保持至今。</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2、机构设置情况</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单位内设机构今年无变动，为综合部、训练一部、训练二部、训练三部。</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3、人员概况</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单位共设49个编制，2020年12月在职在编人员41人，其中领导班子3人，教练员18人，行管人员16人，工勤人员3名；退休人员24人，在职临聘人员4人。在职人员控制率为：83.67%。</w:t>
      </w:r>
    </w:p>
    <w:p>
      <w:pPr>
        <w:pStyle w:val="3"/>
        <w:spacing w:line="240" w:lineRule="auto"/>
        <w:rPr>
          <w:rFonts w:hint="eastAsia" w:ascii="仿宋" w:hAnsi="仿宋" w:eastAsia="仿宋" w:cs="仿宋"/>
          <w:color w:val="auto"/>
        </w:rPr>
      </w:pPr>
      <w:bookmarkStart w:id="2" w:name="_Toc4018"/>
      <w:r>
        <w:rPr>
          <w:rFonts w:hint="eastAsia" w:ascii="仿宋" w:hAnsi="仿宋" w:eastAsia="仿宋" w:cs="仿宋"/>
          <w:color w:val="auto"/>
        </w:rPr>
        <w:t>（二）部门整体支出规模、使用方向和内容</w:t>
      </w:r>
      <w:bookmarkEnd w:id="2"/>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1、年度预算收支情况</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根据2020年部门预算批复，本单位收入预算1446.1万元，全部为财政拨款，支出预算1446.1万元中基本支出1156.16万元，占支出预算总额的79.95%；项目支出289.94万元，占支出预算总额的20.05%。 </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本单位可用财政资金1446.1万元，其中：本年预算1446.1万元，上年结余0.00万元。</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2、年度预算使用方向和内容</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2020年度年初预算支出1446.1万元，其中基本支出1156.16万元，项目支出289.94万元，主要用于本单位中心机构运转及各训练队参加运动赛事、培育体育后备人才及举办市级赛事。</w:t>
      </w:r>
      <w:bookmarkStart w:id="3" w:name="_Toc26608"/>
    </w:p>
    <w:p>
      <w:pPr>
        <w:numPr>
          <w:ilvl w:val="0"/>
          <w:numId w:val="7"/>
        </w:numPr>
        <w:spacing w:line="600" w:lineRule="exact"/>
        <w:ind w:left="0" w:leftChars="0" w:firstLine="883" w:firstLineChars="200"/>
        <w:rPr>
          <w:rFonts w:hint="eastAsia" w:ascii="仿宋" w:hAnsi="仿宋" w:eastAsia="仿宋" w:cs="仿宋"/>
          <w:b/>
          <w:bCs/>
          <w:color w:val="auto"/>
          <w:kern w:val="44"/>
          <w:sz w:val="44"/>
          <w:szCs w:val="44"/>
          <w:lang w:val="en-US" w:eastAsia="zh-CN" w:bidi="ar-SA"/>
        </w:rPr>
      </w:pPr>
      <w:r>
        <w:rPr>
          <w:rFonts w:hint="eastAsia" w:ascii="仿宋" w:hAnsi="仿宋" w:eastAsia="仿宋" w:cs="仿宋"/>
          <w:b/>
          <w:bCs/>
          <w:color w:val="auto"/>
          <w:kern w:val="44"/>
          <w:sz w:val="44"/>
          <w:szCs w:val="44"/>
          <w:lang w:val="en-US" w:eastAsia="zh-CN" w:bidi="ar-SA"/>
        </w:rPr>
        <w:t>部门整体支出管理及使用情况</w:t>
      </w:r>
      <w:bookmarkEnd w:id="3"/>
      <w:bookmarkStart w:id="4" w:name="_Toc8787"/>
    </w:p>
    <w:p>
      <w:pPr>
        <w:numPr>
          <w:ilvl w:val="0"/>
          <w:numId w:val="0"/>
        </w:numPr>
        <w:spacing w:line="600" w:lineRule="exact"/>
        <w:ind w:leftChars="200"/>
        <w:rPr>
          <w:rFonts w:hint="eastAsia" w:ascii="仿宋" w:hAnsi="仿宋" w:eastAsia="仿宋" w:cs="仿宋"/>
          <w:b/>
          <w:bCs/>
          <w:color w:val="auto"/>
          <w:kern w:val="0"/>
          <w:sz w:val="32"/>
          <w:szCs w:val="32"/>
          <w:lang w:val="en-US" w:eastAsia="zh-CN" w:bidi="ar-SA"/>
        </w:rPr>
      </w:pPr>
      <w:r>
        <w:rPr>
          <w:rFonts w:hint="eastAsia" w:ascii="仿宋" w:hAnsi="仿宋" w:eastAsia="仿宋" w:cs="仿宋"/>
          <w:b/>
          <w:bCs/>
          <w:color w:val="auto"/>
          <w:kern w:val="0"/>
          <w:sz w:val="32"/>
          <w:szCs w:val="32"/>
          <w:lang w:val="en-US" w:eastAsia="zh-CN" w:bidi="ar-SA"/>
        </w:rPr>
        <w:t>（一）基本支出管理情况</w:t>
      </w:r>
      <w:bookmarkEnd w:id="4"/>
    </w:p>
    <w:p>
      <w:pPr>
        <w:pStyle w:val="4"/>
        <w:spacing w:line="240" w:lineRule="auto"/>
        <w:ind w:firstLine="643" w:firstLineChars="200"/>
        <w:rPr>
          <w:rFonts w:hint="eastAsia" w:ascii="仿宋" w:hAnsi="仿宋" w:eastAsia="仿宋" w:cs="仿宋"/>
          <w:color w:val="auto"/>
        </w:rPr>
      </w:pPr>
      <w:bookmarkStart w:id="5" w:name="_Toc21319"/>
      <w:r>
        <w:rPr>
          <w:rFonts w:hint="eastAsia" w:ascii="仿宋" w:hAnsi="仿宋" w:eastAsia="仿宋" w:cs="仿宋"/>
          <w:color w:val="auto"/>
        </w:rPr>
        <w:t>1、基本支出本年使用情况</w:t>
      </w:r>
      <w:bookmarkEnd w:id="5"/>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本单位基本支出的范围和主要用途包括本单位的人员经费和日常公用经费。具体包括：工资福利支出、对个人和家庭的补助、商品和服务支出。基本支出实际支出1227.79 万元，其中：工资福利支出962.86万元，对个人和家庭的补助210.31 万元，商品和服务支出54.62 万元。</w:t>
      </w:r>
    </w:p>
    <w:p>
      <w:pPr>
        <w:pStyle w:val="4"/>
        <w:numPr>
          <w:ilvl w:val="0"/>
          <w:numId w:val="0"/>
        </w:numPr>
        <w:ind w:firstLine="643" w:firstLineChars="200"/>
        <w:rPr>
          <w:rFonts w:hint="eastAsia" w:ascii="仿宋" w:hAnsi="仿宋" w:eastAsia="仿宋" w:cs="仿宋"/>
          <w:color w:val="auto"/>
        </w:rPr>
      </w:pPr>
      <w:bookmarkStart w:id="6" w:name="_Toc25540"/>
      <w:r>
        <w:rPr>
          <w:rFonts w:hint="eastAsia" w:ascii="仿宋" w:hAnsi="仿宋" w:eastAsia="仿宋" w:cs="仿宋"/>
          <w:color w:val="auto"/>
          <w:lang w:val="en-US" w:eastAsia="zh-CN"/>
        </w:rPr>
        <w:t>2、</w:t>
      </w:r>
      <w:r>
        <w:rPr>
          <w:rFonts w:hint="eastAsia" w:ascii="仿宋" w:hAnsi="仿宋" w:eastAsia="仿宋" w:cs="仿宋"/>
          <w:color w:val="auto"/>
        </w:rPr>
        <w:t>本年基本支出预算执行情况</w:t>
      </w:r>
      <w:bookmarkEnd w:id="6"/>
    </w:p>
    <w:p>
      <w:pPr>
        <w:tabs>
          <w:tab w:val="center" w:pos="5055"/>
        </w:tabs>
        <w:rPr>
          <w:rFonts w:hint="eastAsia" w:ascii="仿宋" w:hAnsi="仿宋" w:eastAsia="仿宋" w:cs="仿宋"/>
          <w:color w:val="auto"/>
        </w:rPr>
      </w:pPr>
      <w:r>
        <w:rPr>
          <w:rFonts w:hint="eastAsia" w:ascii="仿宋" w:hAnsi="仿宋" w:eastAsia="仿宋" w:cs="仿宋"/>
          <w:color w:val="auto"/>
        </w:rPr>
        <w:t xml:space="preserve"> 单位：万元</w:t>
      </w:r>
      <w:r>
        <w:rPr>
          <w:rFonts w:hint="eastAsia" w:ascii="仿宋" w:hAnsi="仿宋" w:eastAsia="仿宋" w:cs="仿宋"/>
          <w:color w:val="auto"/>
        </w:rPr>
        <w:tab/>
      </w:r>
    </w:p>
    <w:tbl>
      <w:tblPr>
        <w:tblStyle w:val="8"/>
        <w:tblW w:w="8388" w:type="dxa"/>
        <w:tblInd w:w="802" w:type="dxa"/>
        <w:tblLayout w:type="fixed"/>
        <w:tblCellMar>
          <w:top w:w="0" w:type="dxa"/>
          <w:left w:w="15" w:type="dxa"/>
          <w:bottom w:w="0" w:type="dxa"/>
          <w:right w:w="15" w:type="dxa"/>
        </w:tblCellMar>
      </w:tblPr>
      <w:tblGrid>
        <w:gridCol w:w="2973"/>
        <w:gridCol w:w="1724"/>
        <w:gridCol w:w="1748"/>
        <w:gridCol w:w="1943"/>
      </w:tblGrid>
      <w:tr>
        <w:tblPrEx>
          <w:tblCellMar>
            <w:top w:w="0" w:type="dxa"/>
            <w:left w:w="15" w:type="dxa"/>
            <w:bottom w:w="0" w:type="dxa"/>
            <w:right w:w="15" w:type="dxa"/>
          </w:tblCellMar>
        </w:tblPrEx>
        <w:trPr>
          <w:trHeight w:val="528" w:hRule="atLeast"/>
        </w:trPr>
        <w:tc>
          <w:tcPr>
            <w:tcW w:w="2973" w:type="dxa"/>
            <w:tcBorders>
              <w:top w:val="single" w:color="000000" w:sz="4" w:space="0"/>
              <w:left w:val="single" w:color="000000" w:sz="4" w:space="0"/>
              <w:bottom w:val="single" w:color="000000" w:sz="4" w:space="0"/>
            </w:tcBorders>
            <w:vAlign w:val="center"/>
          </w:tcPr>
          <w:p>
            <w:pPr>
              <w:jc w:val="center"/>
              <w:rPr>
                <w:rFonts w:hint="eastAsia" w:ascii="仿宋" w:hAnsi="仿宋" w:eastAsia="仿宋" w:cs="仿宋"/>
                <w:color w:val="auto"/>
                <w:sz w:val="28"/>
                <w:szCs w:val="28"/>
              </w:rPr>
            </w:pPr>
            <w:r>
              <w:rPr>
                <w:rFonts w:hint="eastAsia" w:ascii="仿宋" w:hAnsi="仿宋" w:eastAsia="仿宋" w:cs="仿宋"/>
                <w:color w:val="auto"/>
                <w:sz w:val="28"/>
                <w:szCs w:val="28"/>
              </w:rPr>
              <w:t>预算项目</w:t>
            </w:r>
          </w:p>
        </w:tc>
        <w:tc>
          <w:tcPr>
            <w:tcW w:w="172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预算可用指标</w:t>
            </w:r>
          </w:p>
        </w:tc>
        <w:tc>
          <w:tcPr>
            <w:tcW w:w="174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本年决算金额</w:t>
            </w:r>
          </w:p>
        </w:tc>
        <w:tc>
          <w:tcPr>
            <w:tcW w:w="194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差额</w:t>
            </w:r>
          </w:p>
        </w:tc>
      </w:tr>
      <w:tr>
        <w:tblPrEx>
          <w:tblCellMar>
            <w:top w:w="0" w:type="dxa"/>
            <w:left w:w="15" w:type="dxa"/>
            <w:bottom w:w="0" w:type="dxa"/>
            <w:right w:w="15" w:type="dxa"/>
          </w:tblCellMar>
        </w:tblPrEx>
        <w:trPr>
          <w:trHeight w:val="390" w:hRule="atLeast"/>
        </w:trPr>
        <w:tc>
          <w:tcPr>
            <w:tcW w:w="2973" w:type="dxa"/>
            <w:tcBorders>
              <w:top w:val="single" w:color="000000" w:sz="4" w:space="0"/>
              <w:left w:val="single" w:color="000000" w:sz="4" w:space="0"/>
              <w:bottom w:val="single" w:color="000000" w:sz="4" w:space="0"/>
            </w:tcBorders>
            <w:vAlign w:val="center"/>
          </w:tcPr>
          <w:p>
            <w:pPr>
              <w:autoSpaceDN w:val="0"/>
              <w:jc w:val="lef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工资福利支出</w:t>
            </w:r>
          </w:p>
        </w:tc>
        <w:tc>
          <w:tcPr>
            <w:tcW w:w="172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876.42 </w:t>
            </w:r>
          </w:p>
        </w:tc>
        <w:tc>
          <w:tcPr>
            <w:tcW w:w="174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962.86</w:t>
            </w:r>
          </w:p>
        </w:tc>
        <w:tc>
          <w:tcPr>
            <w:tcW w:w="1943" w:type="dxa"/>
            <w:tcBorders>
              <w:top w:val="single" w:color="000000" w:sz="4" w:space="0"/>
              <w:left w:val="single" w:color="000000" w:sz="4" w:space="0"/>
              <w:bottom w:val="single" w:color="000000" w:sz="4" w:space="0"/>
              <w:right w:val="single" w:color="000000" w:sz="4" w:space="0"/>
            </w:tcBorders>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86.44</w:t>
            </w:r>
          </w:p>
        </w:tc>
      </w:tr>
      <w:tr>
        <w:tblPrEx>
          <w:tblCellMar>
            <w:top w:w="0" w:type="dxa"/>
            <w:left w:w="15" w:type="dxa"/>
            <w:bottom w:w="0" w:type="dxa"/>
            <w:right w:w="15" w:type="dxa"/>
          </w:tblCellMar>
        </w:tblPrEx>
        <w:trPr>
          <w:trHeight w:val="390" w:hRule="atLeast"/>
        </w:trPr>
        <w:tc>
          <w:tcPr>
            <w:tcW w:w="2973" w:type="dxa"/>
            <w:tcBorders>
              <w:top w:val="single" w:color="000000" w:sz="4" w:space="0"/>
              <w:left w:val="single" w:color="000000" w:sz="4" w:space="0"/>
              <w:bottom w:val="single" w:color="000000" w:sz="4" w:space="0"/>
            </w:tcBorders>
            <w:vAlign w:val="center"/>
          </w:tcPr>
          <w:p>
            <w:pPr>
              <w:autoSpaceDN w:val="0"/>
              <w:jc w:val="lef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对个人和家庭的补助</w:t>
            </w:r>
          </w:p>
        </w:tc>
        <w:tc>
          <w:tcPr>
            <w:tcW w:w="172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151.81 </w:t>
            </w:r>
          </w:p>
        </w:tc>
        <w:tc>
          <w:tcPr>
            <w:tcW w:w="174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210.31</w:t>
            </w:r>
          </w:p>
        </w:tc>
        <w:tc>
          <w:tcPr>
            <w:tcW w:w="1943" w:type="dxa"/>
            <w:tcBorders>
              <w:top w:val="single" w:color="000000" w:sz="4" w:space="0"/>
              <w:left w:val="single" w:color="000000" w:sz="4" w:space="0"/>
              <w:bottom w:val="single" w:color="000000" w:sz="4" w:space="0"/>
              <w:right w:val="single" w:color="000000" w:sz="4" w:space="0"/>
            </w:tcBorders>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58.5</w:t>
            </w:r>
          </w:p>
        </w:tc>
      </w:tr>
      <w:tr>
        <w:tblPrEx>
          <w:tblCellMar>
            <w:top w:w="0" w:type="dxa"/>
            <w:left w:w="15" w:type="dxa"/>
            <w:bottom w:w="0" w:type="dxa"/>
            <w:right w:w="15" w:type="dxa"/>
          </w:tblCellMar>
        </w:tblPrEx>
        <w:trPr>
          <w:trHeight w:val="390" w:hRule="atLeast"/>
        </w:trPr>
        <w:tc>
          <w:tcPr>
            <w:tcW w:w="2973" w:type="dxa"/>
            <w:tcBorders>
              <w:top w:val="single" w:color="000000" w:sz="4" w:space="0"/>
              <w:left w:val="single" w:color="000000" w:sz="4" w:space="0"/>
              <w:bottom w:val="single" w:color="000000" w:sz="4" w:space="0"/>
            </w:tcBorders>
            <w:vAlign w:val="center"/>
          </w:tcPr>
          <w:p>
            <w:pPr>
              <w:autoSpaceDN w:val="0"/>
              <w:jc w:val="lef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商品和服务支出</w:t>
            </w:r>
          </w:p>
        </w:tc>
        <w:tc>
          <w:tcPr>
            <w:tcW w:w="1724"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127.93 </w:t>
            </w:r>
          </w:p>
        </w:tc>
        <w:tc>
          <w:tcPr>
            <w:tcW w:w="1748" w:type="dxa"/>
            <w:tcBorders>
              <w:top w:val="single" w:color="000000" w:sz="4" w:space="0"/>
              <w:left w:val="single" w:color="000000" w:sz="4" w:space="0"/>
              <w:bottom w:val="single" w:color="000000" w:sz="4" w:space="0"/>
              <w:right w:val="single" w:color="000000" w:sz="4" w:space="0"/>
            </w:tcBorders>
            <w:vAlign w:val="center"/>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54.62</w:t>
            </w:r>
          </w:p>
        </w:tc>
        <w:tc>
          <w:tcPr>
            <w:tcW w:w="1943" w:type="dxa"/>
            <w:tcBorders>
              <w:top w:val="single" w:color="000000" w:sz="4" w:space="0"/>
              <w:left w:val="single" w:color="000000" w:sz="4" w:space="0"/>
              <w:bottom w:val="single" w:color="000000" w:sz="4" w:space="0"/>
              <w:right w:val="single" w:color="000000" w:sz="4" w:space="0"/>
            </w:tcBorders>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-73.31</w:t>
            </w:r>
          </w:p>
        </w:tc>
      </w:tr>
      <w:tr>
        <w:tblPrEx>
          <w:tblCellMar>
            <w:top w:w="0" w:type="dxa"/>
            <w:left w:w="15" w:type="dxa"/>
            <w:bottom w:w="0" w:type="dxa"/>
            <w:right w:w="15" w:type="dxa"/>
          </w:tblCellMar>
        </w:tblPrEx>
        <w:trPr>
          <w:trHeight w:val="390" w:hRule="atLeast"/>
        </w:trPr>
        <w:tc>
          <w:tcPr>
            <w:tcW w:w="2973" w:type="dxa"/>
            <w:tcBorders>
              <w:top w:val="single" w:color="000000" w:sz="4" w:space="0"/>
              <w:left w:val="single" w:color="000000" w:sz="4" w:space="0"/>
              <w:bottom w:val="single" w:color="000000" w:sz="4" w:space="0"/>
            </w:tcBorders>
            <w:vAlign w:val="center"/>
          </w:tcPr>
          <w:p>
            <w:pPr>
              <w:autoSpaceDN w:val="0"/>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合计</w:t>
            </w:r>
          </w:p>
        </w:tc>
        <w:tc>
          <w:tcPr>
            <w:tcW w:w="1724" w:type="dxa"/>
            <w:tcBorders>
              <w:top w:val="single" w:color="000000" w:sz="4" w:space="0"/>
              <w:left w:val="single" w:color="000000" w:sz="4" w:space="0"/>
              <w:bottom w:val="single" w:color="000000" w:sz="4" w:space="0"/>
              <w:right w:val="single" w:color="000000" w:sz="4" w:space="0"/>
            </w:tcBorders>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1156.16</w:t>
            </w:r>
          </w:p>
        </w:tc>
        <w:tc>
          <w:tcPr>
            <w:tcW w:w="1748" w:type="dxa"/>
            <w:tcBorders>
              <w:top w:val="single" w:color="000000" w:sz="4" w:space="0"/>
              <w:left w:val="single" w:color="000000" w:sz="4" w:space="0"/>
              <w:bottom w:val="single" w:color="000000" w:sz="4" w:space="0"/>
              <w:right w:val="single" w:color="000000" w:sz="4" w:space="0"/>
            </w:tcBorders>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1227.79</w:t>
            </w:r>
          </w:p>
        </w:tc>
        <w:tc>
          <w:tcPr>
            <w:tcW w:w="1943" w:type="dxa"/>
            <w:tcBorders>
              <w:top w:val="single" w:color="000000" w:sz="4" w:space="0"/>
              <w:left w:val="single" w:color="000000" w:sz="4" w:space="0"/>
              <w:bottom w:val="single" w:color="000000" w:sz="4" w:space="0"/>
              <w:right w:val="single" w:color="000000" w:sz="4" w:space="0"/>
            </w:tcBorders>
          </w:tcPr>
          <w:p>
            <w:pPr>
              <w:autoSpaceDN w:val="0"/>
              <w:jc w:val="right"/>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71.63</w:t>
            </w:r>
          </w:p>
        </w:tc>
      </w:tr>
    </w:tbl>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从上表反映，本单位基本支出预算超支71.63万元，其中：工资福利超支86.44万元，对个人和家庭的补助超支58.5万元，商品和服务支出节约73.31万元。</w:t>
      </w:r>
    </w:p>
    <w:p>
      <w:pPr>
        <w:pStyle w:val="4"/>
        <w:ind w:firstLine="643" w:firstLineChars="200"/>
        <w:rPr>
          <w:rFonts w:hint="eastAsia" w:ascii="仿宋" w:hAnsi="仿宋" w:eastAsia="仿宋" w:cs="仿宋"/>
          <w:color w:val="auto"/>
        </w:rPr>
      </w:pPr>
      <w:bookmarkStart w:id="7" w:name="_Toc15666"/>
      <w:bookmarkStart w:id="8" w:name="_Toc5261"/>
      <w:r>
        <w:rPr>
          <w:rFonts w:hint="eastAsia" w:ascii="仿宋" w:hAnsi="仿宋" w:eastAsia="仿宋" w:cs="仿宋"/>
          <w:color w:val="auto"/>
        </w:rPr>
        <w:t>3、“三公经费”支出使用和管理情况</w:t>
      </w:r>
      <w:bookmarkEnd w:id="7"/>
      <w:bookmarkEnd w:id="8"/>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2020年本单位“三公经费”预算无金额，2020年本单位“三公经费”决算未产生金额。</w:t>
      </w:r>
      <w:bookmarkStart w:id="9" w:name="_Toc29029"/>
    </w:p>
    <w:p>
      <w:pPr>
        <w:pStyle w:val="3"/>
        <w:spacing w:line="240" w:lineRule="auto"/>
        <w:rPr>
          <w:rFonts w:hint="eastAsia" w:ascii="仿宋" w:hAnsi="仿宋" w:eastAsia="仿宋" w:cs="仿宋"/>
          <w:color w:val="auto"/>
        </w:rPr>
      </w:pPr>
      <w:r>
        <w:rPr>
          <w:rFonts w:hint="eastAsia" w:ascii="仿宋" w:hAnsi="仿宋" w:eastAsia="仿宋" w:cs="仿宋"/>
          <w:color w:val="auto"/>
        </w:rPr>
        <w:t>（二）项目支出管理情况</w:t>
      </w:r>
      <w:bookmarkEnd w:id="9"/>
    </w:p>
    <w:p>
      <w:pPr>
        <w:pStyle w:val="4"/>
        <w:spacing w:beforeLines="100" w:afterLines="100" w:line="240" w:lineRule="auto"/>
        <w:rPr>
          <w:rFonts w:hint="eastAsia" w:ascii="仿宋" w:hAnsi="仿宋" w:eastAsia="仿宋" w:cs="仿宋"/>
          <w:color w:val="auto"/>
        </w:rPr>
      </w:pPr>
      <w:bookmarkStart w:id="10" w:name="_Toc12231"/>
      <w:r>
        <w:rPr>
          <w:rFonts w:hint="eastAsia" w:ascii="仿宋" w:hAnsi="仿宋" w:eastAsia="仿宋" w:cs="仿宋"/>
          <w:color w:val="auto"/>
          <w:shd w:val="clear" w:color="auto" w:fill="FFFFFF"/>
        </w:rPr>
        <w:t>1、项目资金总投入等情况分析</w:t>
      </w:r>
      <w:bookmarkEnd w:id="10"/>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2020年项目资金预算支出为289.94万元，本年实际支出911.05万元，具体包括：工资福利支出、商品和服务支出、对个人和家庭的补助，资本性支出。其中：工资福利支出26.02万元，商品和服务支出490.68万元，对个人和家庭的补助78.22万元，资本性支出316.13万元。</w:t>
      </w:r>
    </w:p>
    <w:p>
      <w:pPr>
        <w:pStyle w:val="4"/>
        <w:spacing w:beforeLines="100" w:afterLines="100" w:line="240" w:lineRule="auto"/>
        <w:rPr>
          <w:rFonts w:hint="eastAsia" w:ascii="仿宋" w:hAnsi="仿宋" w:eastAsia="仿宋" w:cs="仿宋"/>
          <w:color w:val="auto"/>
          <w:shd w:val="clear" w:color="auto" w:fill="FFFFFF"/>
        </w:rPr>
      </w:pPr>
      <w:bookmarkStart w:id="11" w:name="_Toc20063"/>
      <w:r>
        <w:rPr>
          <w:rFonts w:hint="eastAsia" w:ascii="仿宋" w:hAnsi="仿宋" w:eastAsia="仿宋" w:cs="仿宋"/>
          <w:color w:val="auto"/>
          <w:shd w:val="clear" w:color="auto" w:fill="FFFFFF"/>
        </w:rPr>
        <w:t>2、本年项目资金实际使用情况分析</w:t>
      </w:r>
      <w:bookmarkEnd w:id="11"/>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财政拨款收入一般公共预算收入支出为1544.77万元，政府性基金预算财政拨款收入支出为594.06万元。其中项目收入支出911.05万元（一般公共预算财政拨款316.99万元，政府性基金预算财政拨款594.06万元）;包括运动项目管理193.20万元，体育训练93.82万元，其他体育支出29.97万元，用于体育事业的彩票公益金支出594.06万元。</w:t>
      </w:r>
    </w:p>
    <w:p>
      <w:pPr>
        <w:pStyle w:val="4"/>
        <w:spacing w:beforeLines="100" w:afterLines="100" w:line="240" w:lineRule="auto"/>
        <w:rPr>
          <w:rFonts w:hint="eastAsia" w:ascii="仿宋" w:hAnsi="仿宋" w:eastAsia="仿宋" w:cs="仿宋"/>
          <w:color w:val="auto"/>
          <w:shd w:val="clear" w:color="auto" w:fill="FFFFFF"/>
        </w:rPr>
      </w:pPr>
      <w:bookmarkStart w:id="12" w:name="_Toc25931"/>
      <w:r>
        <w:rPr>
          <w:rFonts w:hint="eastAsia" w:ascii="仿宋" w:hAnsi="仿宋" w:eastAsia="仿宋" w:cs="仿宋"/>
          <w:color w:val="auto"/>
          <w:shd w:val="clear" w:color="auto" w:fill="FFFFFF"/>
        </w:rPr>
        <w:t>3、项目资金管理情况分析</w:t>
      </w:r>
      <w:bookmarkEnd w:id="12"/>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（1）科学合理安排项目资金。本着“量入为出、统筹安排、保证重点、注重绩效”的原则，认真组织项目前期申报及论证工作。</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（2）加强项目资金的监管。加强项目实施进度跟踪监管，定期调度，掌握项目进展情况，及时发现并积极解决存在的问题，加快项目实施进度，严格项目实施质量，不断提高资金的使用效益。</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规范资金使用，严格项目验收。严格落实各项要求，对属于政府采购范围的项目，按照财政部门要求编制政府采购计划，实行政府采购，确保专款专用。严格按照相关的验收管理办法，项目验收合格后方可办理资金支付手续，确保财政资金安全及使用效益。</w:t>
      </w:r>
    </w:p>
    <w:p>
      <w:pPr>
        <w:pStyle w:val="2"/>
        <w:spacing w:line="360" w:lineRule="auto"/>
        <w:rPr>
          <w:rFonts w:hint="eastAsia" w:ascii="仿宋" w:hAnsi="仿宋" w:eastAsia="仿宋" w:cs="仿宋"/>
          <w:color w:val="auto"/>
        </w:rPr>
      </w:pPr>
      <w:bookmarkStart w:id="13" w:name="_Toc2209"/>
      <w:r>
        <w:rPr>
          <w:rFonts w:hint="eastAsia" w:ascii="仿宋" w:hAnsi="仿宋" w:eastAsia="仿宋" w:cs="仿宋"/>
          <w:color w:val="auto"/>
        </w:rPr>
        <w:t>三、部门项目组织实施情况</w:t>
      </w:r>
      <w:bookmarkEnd w:id="13"/>
    </w:p>
    <w:p>
      <w:pPr>
        <w:pStyle w:val="3"/>
        <w:spacing w:line="240" w:lineRule="auto"/>
        <w:rPr>
          <w:rFonts w:hint="eastAsia" w:ascii="仿宋" w:hAnsi="仿宋" w:eastAsia="仿宋" w:cs="仿宋"/>
          <w:color w:val="auto"/>
        </w:rPr>
      </w:pPr>
      <w:bookmarkStart w:id="14" w:name="_Toc13069"/>
      <w:bookmarkStart w:id="15" w:name="_Toc26051"/>
      <w:r>
        <w:rPr>
          <w:rFonts w:hint="eastAsia" w:ascii="仿宋" w:hAnsi="仿宋" w:eastAsia="仿宋" w:cs="仿宋"/>
          <w:color w:val="auto"/>
        </w:rPr>
        <w:t>（一）项目组织情况分析</w:t>
      </w:r>
      <w:bookmarkEnd w:id="14"/>
      <w:bookmarkEnd w:id="15"/>
      <w:bookmarkStart w:id="16" w:name="_Toc28654"/>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2020年，训练中心积极组队参加湖南省各项目青少年锦标赛，共获取金牌121枚。7个项目获得了体育道德风尚奖，实现了运动成绩和精神文明双丰收，展现了长沙体育人敢为人先、勇于拼搏、敢于担当的良好精神风貌。</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全年承办长沙市青少年U系列羽毛球、田径、网球、高尔夫球、水上项目等10项市级比赛。在办赛过程中，严格制定突发事件应对预案，从疫情防控、车辆停放、赛场设置到参赛人员人身安全统一部署，有序的完成了各项承办工作。</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组织开展长沙市青少年篮球、排球、足球、羽毛球、乒乓球、网球、田径7个项目精英训练营，为备战2022年湖南省第十四届运动会比赛和参加湖南省青少年体育锦标赛打下坚实基础，切实推动竞技运动的快速发展。</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（2） 做好全民健身场馆免费开放工作。按照“保障训练，服务开放”的工作思路，加强场馆的各项管理分工，明确分工和职责，强化责任意识，做好场馆的日常安全防护、场馆器材维护、卫生保洁以及管理人员的服务意识。在疫情等级降为三级后，9月8日起各场馆有序对市民免费开放，并严格按照疫情防控的要求，对市民做好登记、出示健康码等工作。2020年共计接待提供免费健身服务4085余人次。安排专人专门负责做好了院区内羽毛球馆修缮项目，2020年投入使用，乒乓球馆灯光改造项目，篮球馆地板改造项目等，做好了赤马湖水上训练基地的日常管理工作。 </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（3）加强财政专项资金管理，规范政府采购程序 按照相关要求，不断加强财政专项资金管理，严格执行内部控制制度和资金管理制度，执行重点运动员伙食补贴实施细则，加强了对专项资金的使用管理。</w:t>
      </w:r>
    </w:p>
    <w:p>
      <w:pPr>
        <w:pStyle w:val="3"/>
        <w:tabs>
          <w:tab w:val="left" w:pos="4395"/>
        </w:tabs>
        <w:spacing w:line="240" w:lineRule="auto"/>
        <w:rPr>
          <w:rFonts w:hint="eastAsia" w:ascii="仿宋" w:hAnsi="仿宋" w:eastAsia="仿宋" w:cs="仿宋"/>
          <w:color w:val="auto"/>
        </w:rPr>
      </w:pPr>
      <w:bookmarkStart w:id="17" w:name="_Toc15007"/>
      <w:r>
        <w:rPr>
          <w:rFonts w:hint="eastAsia" w:ascii="仿宋" w:hAnsi="仿宋" w:eastAsia="仿宋" w:cs="仿宋"/>
          <w:color w:val="auto"/>
        </w:rPr>
        <w:t>（二）项目管理情况分析</w:t>
      </w:r>
      <w:bookmarkEnd w:id="16"/>
      <w:bookmarkEnd w:id="17"/>
      <w:r>
        <w:rPr>
          <w:rFonts w:hint="eastAsia" w:ascii="仿宋" w:hAnsi="仿宋" w:eastAsia="仿宋" w:cs="仿宋"/>
          <w:color w:val="auto"/>
        </w:rPr>
        <w:tab/>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在项目资金管理上，我单位按照长沙市体育局重点运动员、教练员伙食补贴管理办法（试行）的要求，以及本单位的长沙市体育训练竞赛管理中心重点运动员、教练员伙食补助管理办法（试行），加强了对教练员及运动员伙食补贴专项资金的管理，严格执行该规章制度，规范项目资金使用，严格执行体育彩票公益金各项制度，强调资金使用范围，强化了资金监管。在整个项目资金管理中，严格执行项目款专款专用，不挪用，按照各项资金原用途落实执行。</w:t>
      </w:r>
    </w:p>
    <w:p>
      <w:pPr>
        <w:pStyle w:val="2"/>
        <w:spacing w:line="360" w:lineRule="auto"/>
        <w:rPr>
          <w:rFonts w:hint="eastAsia" w:ascii="仿宋" w:hAnsi="仿宋" w:eastAsia="仿宋" w:cs="仿宋"/>
          <w:color w:val="auto"/>
        </w:rPr>
      </w:pPr>
      <w:bookmarkStart w:id="18" w:name="_Toc29236"/>
      <w:r>
        <w:rPr>
          <w:rFonts w:hint="eastAsia" w:ascii="仿宋" w:hAnsi="仿宋" w:eastAsia="仿宋" w:cs="仿宋"/>
          <w:color w:val="auto"/>
        </w:rPr>
        <w:t>四、资产管理情况</w:t>
      </w:r>
      <w:bookmarkEnd w:id="18"/>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截至2020年12 月31 日，2020年固定资产原值为27,206,509.37 元，固定资产折旧数额为17,637,000.14 元，固定净值为9,569,509.23 元，固定资产原值同比增加1722869元， 增涨个6.76百分点，增加主要原因为办公设备，体育专用器材的购置。 </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本部门固定资产管理按照“统一领导，归口管理”的办法实行，固定资产的采购、保管、维修、配置和处置等工作由办公室负责。 办公室应对固定资产进行日常管理，定期进行清查盘点，保证账账相符，账实相符。年度对盘盈、盘亏的固定资产按相关规定及时处理。闲置的固定资产，按照规定及时研究处理，使之合理流动，充分发挥其使用效益。需要更新固定资产时，应严格按照国有资产处置有关规定，遵循物尽其用的原则，科学鉴定在用办公设备的报废条件，办理闲置或拟报废资产的处置手续后方可申报购置预算。</w:t>
      </w:r>
    </w:p>
    <w:p>
      <w:pPr>
        <w:pStyle w:val="2"/>
        <w:spacing w:line="360" w:lineRule="auto"/>
        <w:rPr>
          <w:rFonts w:hint="eastAsia" w:ascii="仿宋" w:hAnsi="仿宋" w:eastAsia="仿宋" w:cs="仿宋"/>
          <w:color w:val="auto"/>
        </w:rPr>
      </w:pPr>
      <w:bookmarkStart w:id="19" w:name="_Toc30760"/>
      <w:r>
        <w:rPr>
          <w:rFonts w:hint="eastAsia" w:ascii="仿宋" w:hAnsi="仿宋" w:eastAsia="仿宋" w:cs="仿宋"/>
          <w:color w:val="auto"/>
        </w:rPr>
        <w:t>五、部门整体支出绩效情况</w:t>
      </w:r>
      <w:bookmarkEnd w:id="19"/>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2020年本单位按照年初工作规划和重点性工作安排，通过加强预算收支的管理，不断建立健全内部管理制度，梳理内部管理流程，部门整体支出管理情况得到了提升。根据前面对2020年部门整体支出状况的概述和分析，部门整体支出绩效情况如下：</w:t>
      </w:r>
    </w:p>
    <w:p>
      <w:pPr>
        <w:pStyle w:val="3"/>
        <w:spacing w:line="240" w:lineRule="auto"/>
        <w:rPr>
          <w:rFonts w:hint="eastAsia" w:ascii="仿宋" w:hAnsi="仿宋" w:eastAsia="仿宋" w:cs="仿宋"/>
          <w:color w:val="auto"/>
        </w:rPr>
      </w:pPr>
      <w:bookmarkStart w:id="20" w:name="_Toc12965"/>
      <w:r>
        <w:rPr>
          <w:rFonts w:hint="eastAsia" w:ascii="仿宋" w:hAnsi="仿宋" w:eastAsia="仿宋" w:cs="仿宋"/>
          <w:color w:val="auto"/>
        </w:rPr>
        <w:t>（一）经济性评价</w:t>
      </w:r>
      <w:bookmarkEnd w:id="20"/>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切实做好厉行节约工作，努力降低行政成本。严格公务接待费、差旅费、会议费和培训费审核审批程序，加强对公务用车的管理，实行限额把关，会议费和培训费严格按年初计划和制度规定的标准执行，未产生“三公”经费。 预算配置控制较好，财政供养人员控制在预算编制以内，编制内在职人员控制率≦100%；预算执行比较到位，支出总额控制在预算总额以内，全年无截留或滞留专项资金情况；全年没有新建楼堂馆所；对于单位的政府采购项目，凡单位购买属于政府采购范围内的货物、工程和服务，严格遵守政府采购相关法律法规的规定办理相关审批手续。</w:t>
      </w:r>
    </w:p>
    <w:p>
      <w:pPr>
        <w:pStyle w:val="3"/>
        <w:spacing w:line="240" w:lineRule="auto"/>
        <w:rPr>
          <w:rFonts w:hint="eastAsia" w:ascii="仿宋" w:hAnsi="仿宋" w:eastAsia="仿宋" w:cs="仿宋"/>
          <w:color w:val="auto"/>
        </w:rPr>
      </w:pPr>
      <w:bookmarkStart w:id="21" w:name="_Toc26320"/>
      <w:r>
        <w:rPr>
          <w:rFonts w:hint="eastAsia" w:ascii="仿宋" w:hAnsi="仿宋" w:eastAsia="仿宋" w:cs="仿宋"/>
          <w:color w:val="auto"/>
        </w:rPr>
        <w:t>（二）效率性和有效性评价</w:t>
      </w:r>
      <w:bookmarkEnd w:id="21"/>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1.2020年，训练中心积极组队参加湖南省各项目青少年锦标赛，共获取金牌121枚。7个项目获得了体育道德风尚奖，在2020年第十二届中国中学生击剑锦标赛上，取得了男子重剑团体和男子花剑团体两枚金牌；男子重剑个人银牌；女子重剑团体第四；男子佩剑剑团体第五和男子重剑个人第八名。</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2．索新模式，抓好抓实后备人才基地建设 进一步夯实竞技体育基础，抓好抓实体育后备人才基地建设。2020年继续保持皮划赛艇和羽毛球省级高水平体育后备人才基地称号， 牢固树立“体育人才意识”， 进一步加强了科研和科学训练，着力提质提效，2020年，训练中心积极探索和实践“体育+教育+社会”青少年体育后备人才培养3结合的新模式，充分利用体育后备人才基地、体育传统学校、青少年体育俱乐部3个抓手，全年常年参加业余训练人数达3000余人。高度重视体育后备人才的培养，树立“体育人才意识”，积极培养输送体育后备人才。2020年向上级输送10名运动员。</w:t>
      </w:r>
    </w:p>
    <w:p>
      <w:pPr>
        <w:pStyle w:val="2"/>
        <w:spacing w:line="360" w:lineRule="auto"/>
        <w:rPr>
          <w:rFonts w:hint="eastAsia" w:ascii="仿宋" w:hAnsi="仿宋" w:eastAsia="仿宋" w:cs="仿宋"/>
          <w:color w:val="auto"/>
        </w:rPr>
      </w:pPr>
      <w:bookmarkStart w:id="22" w:name="_Toc1373"/>
      <w:r>
        <w:rPr>
          <w:rFonts w:hint="eastAsia" w:ascii="仿宋" w:hAnsi="仿宋" w:eastAsia="仿宋" w:cs="仿宋"/>
          <w:color w:val="auto"/>
        </w:rPr>
        <w:t>六、存在的主要问题</w:t>
      </w:r>
      <w:bookmarkEnd w:id="22"/>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通过上述对本单位整体支出情况的分析，在整体支出的预算编制、执行和管理过程中，依然存在一些问题和不足。</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单位基本支出预算安排1156.16万元，基本支出决算金额1227.79万元。项目支出预算安排289.94万元，项目支出决算金额911.05万元。首先，预算刚性不够，预算的计划性、科学性不强，资金使用缺乏预见性，削弱了预算的约束控制力。其次，预算编制工作有待细化。部门预算的编制一般根据当年财政状况、上年收支、预算单位自身的特点和业务进行核定，没有细化到具体项目，预算支出达不到逐笔进行核定的要求。</w:t>
      </w:r>
    </w:p>
    <w:p>
      <w:pPr>
        <w:pStyle w:val="2"/>
        <w:spacing w:line="360" w:lineRule="auto"/>
        <w:rPr>
          <w:rFonts w:hint="eastAsia" w:ascii="仿宋" w:hAnsi="仿宋" w:eastAsia="仿宋" w:cs="仿宋"/>
          <w:color w:val="auto"/>
        </w:rPr>
      </w:pPr>
      <w:bookmarkStart w:id="23" w:name="_Toc1724"/>
      <w:r>
        <w:rPr>
          <w:rFonts w:hint="eastAsia" w:ascii="仿宋" w:hAnsi="仿宋" w:eastAsia="仿宋" w:cs="仿宋"/>
          <w:color w:val="auto"/>
        </w:rPr>
        <w:t>七、改进措施和有关建议</w:t>
      </w:r>
      <w:bookmarkEnd w:id="23"/>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针对上述存在的问题及本单位整体支出管理工作的需要，拟实施的改进措施如下：</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遵循预算管理办法，对于年度无法预计的临时追加的相关工作所需费用，按照预算调整追加程序，逐级申报报批；对结余资金需调整用途的同样按照预算调整追加程序逐级申报报批，做到资金支付，预算先行，确保资金使用按照预算项目和使用用途执行，杜绝费用项目之间调剂使用现象的发生。</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细化预算编制，进一步加强本单位内部机构各处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3、预算财务分析常态化。定期做好支出预算财务分析，及时对费用预算执行情况进行通报和预警，定期对预算执行情况进行自查，做好部门整体支出预算评价工作。</w:t>
      </w:r>
    </w:p>
    <w:p>
      <w:pPr>
        <w:spacing w:line="6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4、加强财务核算工作，提高财务的精细化管理，确保财务核算的真实、及时、准确、完整。</w:t>
      </w:r>
    </w:p>
    <w:p>
      <w:pPr>
        <w:spacing w:line="480" w:lineRule="exact"/>
        <w:ind w:right="560" w:firstLine="643" w:firstLineChars="200"/>
        <w:jc w:val="right"/>
        <w:rPr>
          <w:rFonts w:hint="eastAsia" w:ascii="仿宋" w:hAnsi="仿宋" w:eastAsia="仿宋" w:cs="仿宋"/>
          <w:b/>
          <w:bCs/>
          <w:color w:val="auto"/>
          <w:sz w:val="32"/>
          <w:szCs w:val="32"/>
        </w:rPr>
      </w:pPr>
    </w:p>
    <w:p>
      <w:pPr>
        <w:spacing w:line="480" w:lineRule="exact"/>
        <w:ind w:right="560" w:firstLine="643" w:firstLineChars="200"/>
        <w:jc w:val="right"/>
        <w:rPr>
          <w:rFonts w:hint="eastAsia" w:ascii="仿宋" w:hAnsi="仿宋" w:eastAsia="仿宋" w:cs="仿宋"/>
          <w:b/>
          <w:bCs/>
          <w:color w:val="auto"/>
          <w:sz w:val="32"/>
          <w:szCs w:val="32"/>
        </w:rPr>
      </w:pPr>
      <w:r>
        <w:rPr>
          <w:rFonts w:hint="eastAsia" w:ascii="仿宋" w:hAnsi="仿宋" w:eastAsia="仿宋" w:cs="仿宋"/>
          <w:b/>
          <w:bCs/>
          <w:color w:val="auto"/>
          <w:sz w:val="32"/>
          <w:szCs w:val="32"/>
        </w:rPr>
        <w:t>长沙市体育训练竞赛管理中心</w:t>
      </w:r>
    </w:p>
    <w:p>
      <w:pPr>
        <w:spacing w:line="480" w:lineRule="exact"/>
        <w:ind w:right="560" w:firstLine="643" w:firstLineChars="200"/>
        <w:jc w:val="right"/>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2021</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lang w:val="en-US" w:eastAsia="zh-CN"/>
        </w:rPr>
        <w:t>22</w:t>
      </w:r>
      <w:r>
        <w:rPr>
          <w:rFonts w:hint="eastAsia" w:ascii="仿宋" w:hAnsi="仿宋" w:eastAsia="仿宋" w:cs="仿宋"/>
          <w:b/>
          <w:bCs/>
          <w:color w:val="auto"/>
          <w:sz w:val="32"/>
          <w:szCs w:val="32"/>
        </w:rPr>
        <w:t>日</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eastAsia" w:ascii="仿宋" w:hAnsi="仿宋" w:eastAsia="仿宋" w:cs="仿宋"/>
          <w:b w:val="0"/>
          <w:bCs w:val="0"/>
          <w:i w:val="0"/>
          <w:iCs w:val="0"/>
          <w:color w:val="auto"/>
          <w:kern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82C6C"/>
    <w:multiLevelType w:val="singleLevel"/>
    <w:tmpl w:val="89882C6C"/>
    <w:lvl w:ilvl="0" w:tentative="0">
      <w:start w:val="2"/>
      <w:numFmt w:val="chineseCounting"/>
      <w:suff w:val="nothing"/>
      <w:lvlText w:val="（%1）"/>
      <w:lvlJc w:val="left"/>
      <w:rPr>
        <w:rFonts w:hint="eastAsia"/>
      </w:rPr>
    </w:lvl>
  </w:abstractNum>
  <w:abstractNum w:abstractNumId="1">
    <w:nsid w:val="C6E7AF95"/>
    <w:multiLevelType w:val="singleLevel"/>
    <w:tmpl w:val="C6E7AF95"/>
    <w:lvl w:ilvl="0" w:tentative="0">
      <w:start w:val="1"/>
      <w:numFmt w:val="chineseCounting"/>
      <w:suff w:val="nothing"/>
      <w:lvlText w:val="%1、"/>
      <w:lvlJc w:val="left"/>
      <w:rPr>
        <w:rFonts w:hint="eastAsia"/>
      </w:rPr>
    </w:lvl>
  </w:abstractNum>
  <w:abstractNum w:abstractNumId="2">
    <w:nsid w:val="F3F2E197"/>
    <w:multiLevelType w:val="singleLevel"/>
    <w:tmpl w:val="F3F2E197"/>
    <w:lvl w:ilvl="0" w:tentative="0">
      <w:start w:val="1"/>
      <w:numFmt w:val="chineseCounting"/>
      <w:suff w:val="nothing"/>
      <w:lvlText w:val="%1、"/>
      <w:lvlJc w:val="left"/>
      <w:rPr>
        <w:rFonts w:hint="eastAsia"/>
      </w:rPr>
    </w:lvl>
  </w:abstractNum>
  <w:abstractNum w:abstractNumId="3">
    <w:nsid w:val="009F6D99"/>
    <w:multiLevelType w:val="singleLevel"/>
    <w:tmpl w:val="009F6D99"/>
    <w:lvl w:ilvl="0" w:tentative="0">
      <w:start w:val="1"/>
      <w:numFmt w:val="decimal"/>
      <w:suff w:val="nothing"/>
      <w:lvlText w:val="%1．"/>
      <w:lvlJc w:val="left"/>
    </w:lvl>
  </w:abstractNum>
  <w:abstractNum w:abstractNumId="4">
    <w:nsid w:val="18B2757E"/>
    <w:multiLevelType w:val="singleLevel"/>
    <w:tmpl w:val="18B2757E"/>
    <w:lvl w:ilvl="0" w:tentative="0">
      <w:start w:val="1"/>
      <w:numFmt w:val="chineseCounting"/>
      <w:suff w:val="nothing"/>
      <w:lvlText w:val="%1、"/>
      <w:lvlJc w:val="left"/>
      <w:rPr>
        <w:rFonts w:hint="eastAsia"/>
      </w:rPr>
    </w:lvl>
  </w:abstractNum>
  <w:abstractNum w:abstractNumId="5">
    <w:nsid w:val="2A26A562"/>
    <w:multiLevelType w:val="singleLevel"/>
    <w:tmpl w:val="2A26A562"/>
    <w:lvl w:ilvl="0" w:tentative="0">
      <w:start w:val="13"/>
      <w:numFmt w:val="chineseCounting"/>
      <w:suff w:val="nothing"/>
      <w:lvlText w:val="%1、"/>
      <w:lvlJc w:val="left"/>
      <w:rPr>
        <w:rFonts w:hint="eastAsia"/>
      </w:rPr>
    </w:lvl>
  </w:abstractNum>
  <w:abstractNum w:abstractNumId="6">
    <w:nsid w:val="73CD8679"/>
    <w:multiLevelType w:val="singleLevel"/>
    <w:tmpl w:val="73CD8679"/>
    <w:lvl w:ilvl="0" w:tentative="0">
      <w:start w:val="1"/>
      <w:numFmt w:val="decimal"/>
      <w:suff w:val="nothing"/>
      <w:lvlText w:val="%1、"/>
      <w:lvlJc w:val="left"/>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AC"/>
    <w:rsid w:val="005418AC"/>
    <w:rsid w:val="0094567C"/>
    <w:rsid w:val="02356682"/>
    <w:rsid w:val="0C2940FC"/>
    <w:rsid w:val="0CE975E0"/>
    <w:rsid w:val="0D1F3E4C"/>
    <w:rsid w:val="0F1307F6"/>
    <w:rsid w:val="103B6A9B"/>
    <w:rsid w:val="12EF3A96"/>
    <w:rsid w:val="15B51AFE"/>
    <w:rsid w:val="17B4399D"/>
    <w:rsid w:val="186D197F"/>
    <w:rsid w:val="194836BB"/>
    <w:rsid w:val="1BFE3224"/>
    <w:rsid w:val="1F5F4E9E"/>
    <w:rsid w:val="20FA0112"/>
    <w:rsid w:val="219275DF"/>
    <w:rsid w:val="21E64544"/>
    <w:rsid w:val="252B14D0"/>
    <w:rsid w:val="2DDF36BE"/>
    <w:rsid w:val="30164E27"/>
    <w:rsid w:val="30343206"/>
    <w:rsid w:val="35B511F2"/>
    <w:rsid w:val="36820088"/>
    <w:rsid w:val="395A4D24"/>
    <w:rsid w:val="3D884E80"/>
    <w:rsid w:val="3EAB6347"/>
    <w:rsid w:val="3EEE37B4"/>
    <w:rsid w:val="3F1D22A3"/>
    <w:rsid w:val="434A1A33"/>
    <w:rsid w:val="44B7675C"/>
    <w:rsid w:val="45F30CE4"/>
    <w:rsid w:val="47656990"/>
    <w:rsid w:val="476B333B"/>
    <w:rsid w:val="4A4402E9"/>
    <w:rsid w:val="4AC426EE"/>
    <w:rsid w:val="4B0C750D"/>
    <w:rsid w:val="4B350A67"/>
    <w:rsid w:val="4D7C6E1F"/>
    <w:rsid w:val="4DF0049C"/>
    <w:rsid w:val="4E3600B5"/>
    <w:rsid w:val="4EDB567C"/>
    <w:rsid w:val="4FF87CD1"/>
    <w:rsid w:val="50D23B48"/>
    <w:rsid w:val="51901F4C"/>
    <w:rsid w:val="52402AB2"/>
    <w:rsid w:val="53B829FE"/>
    <w:rsid w:val="547D0C1F"/>
    <w:rsid w:val="55A15610"/>
    <w:rsid w:val="56F960C3"/>
    <w:rsid w:val="580836C0"/>
    <w:rsid w:val="58A2686D"/>
    <w:rsid w:val="5B41318B"/>
    <w:rsid w:val="5B7E1F76"/>
    <w:rsid w:val="637A32EE"/>
    <w:rsid w:val="639C1268"/>
    <w:rsid w:val="63AB6EDD"/>
    <w:rsid w:val="686D2566"/>
    <w:rsid w:val="69FD59E2"/>
    <w:rsid w:val="6AE176CF"/>
    <w:rsid w:val="6CFF3903"/>
    <w:rsid w:val="6E1A7ADB"/>
    <w:rsid w:val="6E4F0E6D"/>
    <w:rsid w:val="711562C0"/>
    <w:rsid w:val="71AB4411"/>
    <w:rsid w:val="795C086E"/>
    <w:rsid w:val="7B1871D9"/>
    <w:rsid w:val="7C3B1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9"/>
    <w:pPr>
      <w:keepNext/>
      <w:keepLines/>
      <w:spacing w:line="413" w:lineRule="auto"/>
      <w:outlineLvl w:val="2"/>
    </w:pPr>
    <w:rPr>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7355</Words>
  <Characters>8142</Characters>
  <Lines>27</Lines>
  <Paragraphs>7</Paragraphs>
  <TotalTime>14</TotalTime>
  <ScaleCrop>false</ScaleCrop>
  <LinksUpToDate>false</LinksUpToDate>
  <CharactersWithSpaces>8210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2021-09-07T03:26:00Z</dcterms:created>
  <dc:creator>admin</dc:creator>
  <cp:lastModifiedBy>lenovo</cp:lastModifiedBy>
  <cp:lastPrinted>2021-09-29T02:14:00Z</cp:lastPrinted>
  <dcterms:modified xsi:type="dcterms:W3CDTF">2022-09-02T04:55:19Z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B3F7E1EA2C8743678E4CB0AACFBD6449</vt:lpwstr>
  </property>
</Properties>
</file>