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7F983">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210" w:lineRule="atLeast"/>
        <w:ind w:left="0" w:right="0" w:firstLine="0"/>
        <w:jc w:val="center"/>
        <w:rPr>
          <w:rFonts w:hint="eastAsia" w:ascii="微软雅黑" w:hAnsi="微软雅黑" w:eastAsia="微软雅黑" w:cs="微软雅黑"/>
          <w:i w:val="0"/>
          <w:caps w:val="0"/>
          <w:color w:val="000000"/>
          <w:spacing w:val="0"/>
          <w:sz w:val="21"/>
          <w:szCs w:val="21"/>
        </w:rPr>
      </w:pPr>
    </w:p>
    <w:p w14:paraId="0750E862">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210" w:lineRule="atLeast"/>
        <w:ind w:left="0" w:right="0" w:firstLine="0"/>
        <w:jc w:val="center"/>
        <w:rPr>
          <w:rFonts w:hint="eastAsia" w:ascii="微软雅黑" w:hAnsi="微软雅黑" w:eastAsia="微软雅黑" w:cs="微软雅黑"/>
          <w:i w:val="0"/>
          <w:caps w:val="0"/>
          <w:color w:val="000000"/>
          <w:spacing w:val="0"/>
          <w:sz w:val="21"/>
          <w:szCs w:val="21"/>
        </w:rPr>
      </w:pPr>
      <w:r>
        <w:rPr>
          <w:rFonts w:hint="default" w:ascii="方正大标宋简体" w:hAnsi="方正大标宋简体" w:eastAsia="方正大标宋简体" w:cs="方正大标宋简体"/>
          <w:i w:val="0"/>
          <w:caps w:val="0"/>
          <w:color w:val="00000A"/>
          <w:spacing w:val="0"/>
          <w:sz w:val="60"/>
          <w:szCs w:val="60"/>
          <w:shd w:val="clear" w:color="070000" w:fill="FFFFFF"/>
        </w:rPr>
        <w:t>第五部分　附　件</w:t>
      </w:r>
    </w:p>
    <w:p w14:paraId="4D42645B">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195" w:lineRule="atLeast"/>
        <w:ind w:left="0" w:right="0" w:firstLine="0"/>
        <w:jc w:val="left"/>
        <w:rPr>
          <w:rFonts w:hint="eastAsia" w:ascii="微软雅黑" w:hAnsi="微软雅黑" w:eastAsia="微软雅黑" w:cs="微软雅黑"/>
          <w:i w:val="0"/>
          <w:caps w:val="0"/>
          <w:color w:val="000000"/>
          <w:spacing w:val="0"/>
          <w:sz w:val="19"/>
          <w:szCs w:val="19"/>
        </w:rPr>
      </w:pPr>
    </w:p>
    <w:p w14:paraId="1F1C32BE">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605" w:lineRule="atLeast"/>
        <w:ind w:left="0" w:right="0" w:firstLine="0"/>
        <w:jc w:val="center"/>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A"/>
          <w:spacing w:val="0"/>
          <w:sz w:val="21"/>
          <w:szCs w:val="21"/>
          <w:shd w:val="clear" w:color="070000" w:fill="FFFFFF"/>
        </w:rPr>
        <w:t>          </w:t>
      </w:r>
      <w:r>
        <w:rPr>
          <w:rFonts w:hint="eastAsia" w:ascii="宋体" w:hAnsi="宋体" w:eastAsia="宋体" w:cs="宋体"/>
          <w:i w:val="0"/>
          <w:caps w:val="0"/>
          <w:color w:val="00000A"/>
          <w:spacing w:val="0"/>
          <w:sz w:val="44"/>
          <w:szCs w:val="44"/>
          <w:shd w:val="clear" w:color="070000" w:fill="FFFFFF"/>
        </w:rPr>
        <w:t>2019</w:t>
      </w:r>
      <w:r>
        <w:rPr>
          <w:rFonts w:hint="eastAsia" w:ascii="宋体" w:hAnsi="宋体" w:eastAsia="宋体" w:cs="宋体"/>
          <w:i w:val="0"/>
          <w:caps w:val="0"/>
          <w:color w:val="000000"/>
          <w:spacing w:val="0"/>
          <w:sz w:val="44"/>
          <w:szCs w:val="44"/>
          <w:shd w:val="clear" w:color="070000" w:fill="FFFFFF"/>
        </w:rPr>
        <w:t>年度部门整体支出</w:t>
      </w:r>
      <w:r>
        <w:rPr>
          <w:rFonts w:hint="eastAsia" w:ascii="宋体" w:hAnsi="宋体" w:eastAsia="宋体" w:cs="宋体"/>
          <w:i w:val="0"/>
          <w:caps w:val="0"/>
          <w:color w:val="00000A"/>
          <w:spacing w:val="0"/>
          <w:sz w:val="44"/>
          <w:szCs w:val="44"/>
          <w:shd w:val="clear" w:color="070000" w:fill="FFFFFF"/>
        </w:rPr>
        <w:t>绩效评价报告</w:t>
      </w:r>
    </w:p>
    <w:p w14:paraId="4C31C431">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195" w:lineRule="atLeast"/>
        <w:ind w:left="0" w:right="0" w:firstLine="0"/>
        <w:rPr>
          <w:rFonts w:hint="eastAsia" w:ascii="微软雅黑" w:hAnsi="微软雅黑" w:eastAsia="微软雅黑" w:cs="微软雅黑"/>
          <w:i w:val="0"/>
          <w:caps w:val="0"/>
          <w:color w:val="000000"/>
          <w:spacing w:val="0"/>
          <w:sz w:val="19"/>
          <w:szCs w:val="19"/>
        </w:rPr>
      </w:pPr>
    </w:p>
    <w:p w14:paraId="2207CEA7">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195" w:lineRule="atLeast"/>
        <w:ind w:left="0" w:right="0" w:firstLine="0"/>
        <w:rPr>
          <w:rFonts w:hint="eastAsia" w:ascii="微软雅黑" w:hAnsi="微软雅黑" w:eastAsia="微软雅黑" w:cs="微软雅黑"/>
          <w:i w:val="0"/>
          <w:caps w:val="0"/>
          <w:color w:val="000000"/>
          <w:spacing w:val="0"/>
          <w:sz w:val="19"/>
          <w:szCs w:val="19"/>
        </w:rPr>
      </w:pPr>
      <w:r>
        <w:rPr>
          <w:rFonts w:hint="default" w:ascii="仿宋_GB2312" w:hAnsi="微软雅黑" w:eastAsia="仿宋_GB2312" w:cs="仿宋_GB2312"/>
          <w:i w:val="0"/>
          <w:caps w:val="0"/>
          <w:color w:val="000000"/>
          <w:spacing w:val="0"/>
          <w:sz w:val="24"/>
          <w:szCs w:val="24"/>
          <w:shd w:val="clear" w:color="070000" w:fill="FFFFFF"/>
        </w:rPr>
        <w:t>填报单位：中共长沙市委老干部局（机关）</w:t>
      </w:r>
    </w:p>
    <w:p w14:paraId="0BDF5D46">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195" w:lineRule="atLeast"/>
        <w:ind w:left="0" w:right="0" w:firstLine="0"/>
        <w:rPr>
          <w:rFonts w:hint="eastAsia" w:ascii="微软雅黑" w:hAnsi="微软雅黑" w:eastAsia="微软雅黑" w:cs="微软雅黑"/>
          <w:i w:val="0"/>
          <w:caps w:val="0"/>
          <w:color w:val="000000"/>
          <w:spacing w:val="0"/>
          <w:sz w:val="19"/>
          <w:szCs w:val="19"/>
        </w:rPr>
      </w:pPr>
    </w:p>
    <w:tbl>
      <w:tblPr>
        <w:tblStyle w:val="3"/>
        <w:tblW w:w="9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5" w:type="dxa"/>
          <w:left w:w="105" w:type="dxa"/>
          <w:bottom w:w="105" w:type="dxa"/>
          <w:right w:w="105" w:type="dxa"/>
        </w:tblCellMar>
      </w:tblPr>
      <w:tblGrid>
        <w:gridCol w:w="3284"/>
        <w:gridCol w:w="1626"/>
        <w:gridCol w:w="111"/>
        <w:gridCol w:w="1058"/>
        <w:gridCol w:w="458"/>
        <w:gridCol w:w="600"/>
        <w:gridCol w:w="442"/>
        <w:gridCol w:w="1074"/>
        <w:gridCol w:w="1247"/>
      </w:tblGrid>
      <w:tr w14:paraId="35C31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3284" w:type="dxa"/>
            <w:vMerge w:val="restart"/>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2ED8A55E">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财政供养人员情况</w:t>
            </w:r>
          </w:p>
        </w:tc>
        <w:tc>
          <w:tcPr>
            <w:tcW w:w="1737" w:type="dxa"/>
            <w:gridSpan w:val="2"/>
            <w:vMerge w:val="restart"/>
            <w:tcBorders>
              <w:top w:val="single" w:color="00000A" w:sz="8" w:space="0"/>
              <w:left w:val="nil"/>
              <w:bottom w:val="single" w:color="00000A" w:sz="8" w:space="0"/>
              <w:right w:val="single" w:color="00000A" w:sz="8" w:space="0"/>
            </w:tcBorders>
            <w:tcMar>
              <w:top w:w="0" w:type="dxa"/>
              <w:left w:w="0" w:type="dxa"/>
              <w:bottom w:w="0" w:type="dxa"/>
              <w:right w:w="115" w:type="dxa"/>
            </w:tcMar>
            <w:vAlign w:val="center"/>
          </w:tcPr>
          <w:p w14:paraId="407CCA25">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Style w:val="5"/>
                <w:rFonts w:hint="eastAsia" w:ascii="宋体" w:hAnsi="宋体" w:eastAsia="宋体" w:cs="宋体"/>
                <w:sz w:val="19"/>
                <w:szCs w:val="19"/>
              </w:rPr>
              <w:t>编制数</w:t>
            </w:r>
          </w:p>
        </w:tc>
        <w:tc>
          <w:tcPr>
            <w:tcW w:w="2116" w:type="dxa"/>
            <w:gridSpan w:val="3"/>
            <w:vMerge w:val="restart"/>
            <w:tcBorders>
              <w:top w:val="single" w:color="00000A" w:sz="8" w:space="0"/>
              <w:left w:val="nil"/>
              <w:bottom w:val="single" w:color="00000A" w:sz="8" w:space="0"/>
              <w:right w:val="single" w:color="00000A" w:sz="8" w:space="0"/>
            </w:tcBorders>
            <w:tcMar>
              <w:top w:w="0" w:type="dxa"/>
              <w:left w:w="0" w:type="dxa"/>
              <w:bottom w:w="0" w:type="dxa"/>
              <w:right w:w="115" w:type="dxa"/>
            </w:tcMar>
            <w:vAlign w:val="center"/>
          </w:tcPr>
          <w:p w14:paraId="592F62B6">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Style w:val="5"/>
                <w:sz w:val="19"/>
                <w:szCs w:val="19"/>
              </w:rPr>
              <w:t>2019</w:t>
            </w:r>
            <w:r>
              <w:rPr>
                <w:rStyle w:val="5"/>
                <w:rFonts w:hint="eastAsia" w:ascii="宋体" w:hAnsi="宋体" w:eastAsia="宋体" w:cs="宋体"/>
                <w:sz w:val="19"/>
                <w:szCs w:val="19"/>
              </w:rPr>
              <w:t>年实际在职人数</w:t>
            </w:r>
          </w:p>
        </w:tc>
        <w:tc>
          <w:tcPr>
            <w:tcW w:w="2763" w:type="dxa"/>
            <w:gridSpan w:val="3"/>
            <w:vMerge w:val="restart"/>
            <w:tcBorders>
              <w:top w:val="single" w:color="00000A" w:sz="8" w:space="0"/>
              <w:left w:val="nil"/>
              <w:bottom w:val="single" w:color="00000A" w:sz="8" w:space="0"/>
              <w:right w:val="single" w:color="00000A" w:sz="8" w:space="0"/>
            </w:tcBorders>
            <w:tcMar>
              <w:top w:w="0" w:type="dxa"/>
              <w:left w:w="0" w:type="dxa"/>
              <w:bottom w:w="0" w:type="dxa"/>
              <w:right w:w="115" w:type="dxa"/>
            </w:tcMar>
            <w:vAlign w:val="center"/>
          </w:tcPr>
          <w:p w14:paraId="31600E57">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Style w:val="5"/>
                <w:rFonts w:hint="eastAsia" w:ascii="宋体" w:hAnsi="宋体" w:eastAsia="宋体" w:cs="宋体"/>
                <w:sz w:val="19"/>
                <w:szCs w:val="19"/>
              </w:rPr>
              <w:t>控制率</w:t>
            </w:r>
          </w:p>
        </w:tc>
      </w:tr>
      <w:tr w14:paraId="1AB7A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3284" w:type="dxa"/>
            <w:vMerge w:val="continue"/>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3CCC00E8">
            <w:pPr>
              <w:rPr>
                <w:rFonts w:hint="eastAsia" w:ascii="宋体"/>
                <w:sz w:val="24"/>
                <w:szCs w:val="24"/>
              </w:rPr>
            </w:pPr>
          </w:p>
        </w:tc>
        <w:tc>
          <w:tcPr>
            <w:tcW w:w="1737" w:type="dxa"/>
            <w:gridSpan w:val="2"/>
            <w:vMerge w:val="continue"/>
            <w:tcBorders>
              <w:top w:val="single" w:color="00000A" w:sz="8" w:space="0"/>
              <w:left w:val="nil"/>
              <w:bottom w:val="single" w:color="00000A" w:sz="8" w:space="0"/>
              <w:right w:val="single" w:color="00000A" w:sz="8" w:space="0"/>
            </w:tcBorders>
            <w:tcMar>
              <w:top w:w="0" w:type="dxa"/>
              <w:left w:w="0" w:type="dxa"/>
              <w:bottom w:w="0" w:type="dxa"/>
              <w:right w:w="115" w:type="dxa"/>
            </w:tcMar>
            <w:vAlign w:val="center"/>
          </w:tcPr>
          <w:p w14:paraId="6E952063">
            <w:pPr>
              <w:rPr>
                <w:rFonts w:hint="eastAsia" w:ascii="宋体"/>
                <w:sz w:val="24"/>
                <w:szCs w:val="24"/>
              </w:rPr>
            </w:pPr>
          </w:p>
        </w:tc>
        <w:tc>
          <w:tcPr>
            <w:tcW w:w="2116" w:type="dxa"/>
            <w:gridSpan w:val="3"/>
            <w:vMerge w:val="continue"/>
            <w:tcBorders>
              <w:top w:val="single" w:color="00000A" w:sz="8" w:space="0"/>
              <w:left w:val="nil"/>
              <w:bottom w:val="single" w:color="00000A" w:sz="8" w:space="0"/>
              <w:right w:val="single" w:color="00000A" w:sz="8" w:space="0"/>
            </w:tcBorders>
            <w:tcMar>
              <w:top w:w="0" w:type="dxa"/>
              <w:left w:w="0" w:type="dxa"/>
              <w:bottom w:w="0" w:type="dxa"/>
              <w:right w:w="115" w:type="dxa"/>
            </w:tcMar>
            <w:vAlign w:val="center"/>
          </w:tcPr>
          <w:p w14:paraId="2A4799E1">
            <w:pPr>
              <w:rPr>
                <w:rFonts w:hint="eastAsia" w:ascii="宋体"/>
                <w:sz w:val="24"/>
                <w:szCs w:val="24"/>
              </w:rPr>
            </w:pPr>
          </w:p>
        </w:tc>
        <w:tc>
          <w:tcPr>
            <w:tcW w:w="2763" w:type="dxa"/>
            <w:gridSpan w:val="3"/>
            <w:vMerge w:val="continue"/>
            <w:tcBorders>
              <w:top w:val="single" w:color="00000A" w:sz="8" w:space="0"/>
              <w:left w:val="nil"/>
              <w:bottom w:val="single" w:color="00000A" w:sz="8" w:space="0"/>
              <w:right w:val="single" w:color="00000A" w:sz="8" w:space="0"/>
            </w:tcBorders>
            <w:tcMar>
              <w:top w:w="0" w:type="dxa"/>
              <w:left w:w="0" w:type="dxa"/>
              <w:bottom w:w="0" w:type="dxa"/>
              <w:right w:w="115" w:type="dxa"/>
            </w:tcMar>
            <w:vAlign w:val="center"/>
          </w:tcPr>
          <w:p w14:paraId="72CC5189">
            <w:pPr>
              <w:rPr>
                <w:rFonts w:hint="eastAsia" w:ascii="宋体"/>
                <w:sz w:val="24"/>
                <w:szCs w:val="24"/>
              </w:rPr>
            </w:pPr>
          </w:p>
        </w:tc>
      </w:tr>
      <w:tr w14:paraId="4CA0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3284" w:type="dxa"/>
            <w:vMerge w:val="continue"/>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566FE435">
            <w:pPr>
              <w:rPr>
                <w:rFonts w:hint="eastAsia" w:ascii="宋体"/>
                <w:sz w:val="24"/>
                <w:szCs w:val="24"/>
              </w:rPr>
            </w:pPr>
          </w:p>
        </w:tc>
        <w:tc>
          <w:tcPr>
            <w:tcW w:w="1737" w:type="dxa"/>
            <w:gridSpan w:val="2"/>
            <w:tcBorders>
              <w:top w:val="nil"/>
              <w:left w:val="nil"/>
              <w:bottom w:val="single" w:color="00000A" w:sz="8" w:space="0"/>
              <w:right w:val="single" w:color="00000A" w:sz="8" w:space="0"/>
            </w:tcBorders>
            <w:tcMar>
              <w:top w:w="0" w:type="dxa"/>
              <w:left w:w="0" w:type="dxa"/>
              <w:bottom w:w="0" w:type="dxa"/>
              <w:right w:w="115" w:type="dxa"/>
            </w:tcMar>
            <w:vAlign w:val="center"/>
          </w:tcPr>
          <w:p w14:paraId="78A40A10">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sz w:val="19"/>
                <w:szCs w:val="19"/>
              </w:rPr>
              <w:t>33</w:t>
            </w:r>
          </w:p>
        </w:tc>
        <w:tc>
          <w:tcPr>
            <w:tcW w:w="2116" w:type="dxa"/>
            <w:gridSpan w:val="3"/>
            <w:tcBorders>
              <w:top w:val="nil"/>
              <w:left w:val="nil"/>
              <w:bottom w:val="single" w:color="00000A" w:sz="8" w:space="0"/>
              <w:right w:val="single" w:color="00000A" w:sz="8" w:space="0"/>
            </w:tcBorders>
            <w:tcMar>
              <w:top w:w="0" w:type="dxa"/>
              <w:left w:w="0" w:type="dxa"/>
              <w:bottom w:w="0" w:type="dxa"/>
              <w:right w:w="115" w:type="dxa"/>
            </w:tcMar>
            <w:vAlign w:val="center"/>
          </w:tcPr>
          <w:p w14:paraId="31A80E5A">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sz w:val="19"/>
                <w:szCs w:val="19"/>
              </w:rPr>
              <w:t>29</w:t>
            </w:r>
          </w:p>
        </w:tc>
        <w:tc>
          <w:tcPr>
            <w:tcW w:w="2763" w:type="dxa"/>
            <w:gridSpan w:val="3"/>
            <w:tcBorders>
              <w:top w:val="nil"/>
              <w:left w:val="nil"/>
              <w:bottom w:val="single" w:color="00000A" w:sz="8" w:space="0"/>
              <w:right w:val="single" w:color="00000A" w:sz="8" w:space="0"/>
            </w:tcBorders>
            <w:tcMar>
              <w:top w:w="0" w:type="dxa"/>
              <w:left w:w="0" w:type="dxa"/>
              <w:bottom w:w="0" w:type="dxa"/>
              <w:right w:w="115" w:type="dxa"/>
            </w:tcMar>
            <w:vAlign w:val="center"/>
          </w:tcPr>
          <w:p w14:paraId="156E9281">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sz w:val="19"/>
                <w:szCs w:val="19"/>
              </w:rPr>
              <w:t>87.88%</w:t>
            </w:r>
          </w:p>
        </w:tc>
      </w:tr>
      <w:tr w14:paraId="6CAFF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3284" w:type="dxa"/>
            <w:vMerge w:val="restart"/>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558143C3">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经费控制情况</w:t>
            </w:r>
          </w:p>
        </w:tc>
        <w:tc>
          <w:tcPr>
            <w:tcW w:w="1737" w:type="dxa"/>
            <w:gridSpan w:val="2"/>
            <w:vMerge w:val="restart"/>
            <w:tcBorders>
              <w:top w:val="single" w:color="00000A" w:sz="8" w:space="0"/>
              <w:left w:val="nil"/>
              <w:bottom w:val="single" w:color="00000A" w:sz="8" w:space="0"/>
              <w:right w:val="single" w:color="00000A" w:sz="8" w:space="0"/>
            </w:tcBorders>
            <w:tcMar>
              <w:top w:w="0" w:type="dxa"/>
              <w:left w:w="0" w:type="dxa"/>
              <w:bottom w:w="0" w:type="dxa"/>
              <w:right w:w="115" w:type="dxa"/>
            </w:tcMar>
            <w:vAlign w:val="center"/>
          </w:tcPr>
          <w:p w14:paraId="70F5A59B">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Style w:val="5"/>
                <w:sz w:val="19"/>
                <w:szCs w:val="19"/>
              </w:rPr>
              <w:t>2018</w:t>
            </w:r>
            <w:r>
              <w:rPr>
                <w:rStyle w:val="5"/>
                <w:rFonts w:hint="eastAsia" w:ascii="宋体" w:hAnsi="宋体" w:eastAsia="宋体" w:cs="宋体"/>
                <w:sz w:val="19"/>
                <w:szCs w:val="19"/>
              </w:rPr>
              <w:t>年决算数</w:t>
            </w:r>
          </w:p>
        </w:tc>
        <w:tc>
          <w:tcPr>
            <w:tcW w:w="2116" w:type="dxa"/>
            <w:gridSpan w:val="3"/>
            <w:vMerge w:val="restart"/>
            <w:tcBorders>
              <w:top w:val="single" w:color="00000A" w:sz="8" w:space="0"/>
              <w:left w:val="nil"/>
              <w:bottom w:val="single" w:color="00000A" w:sz="8" w:space="0"/>
              <w:right w:val="single" w:color="00000A" w:sz="8" w:space="0"/>
            </w:tcBorders>
            <w:tcMar>
              <w:top w:w="0" w:type="dxa"/>
              <w:left w:w="0" w:type="dxa"/>
              <w:bottom w:w="0" w:type="dxa"/>
              <w:right w:w="115" w:type="dxa"/>
            </w:tcMar>
            <w:vAlign w:val="center"/>
          </w:tcPr>
          <w:p w14:paraId="4A05D02A">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Style w:val="5"/>
                <w:sz w:val="19"/>
                <w:szCs w:val="19"/>
              </w:rPr>
              <w:t>2019</w:t>
            </w:r>
            <w:r>
              <w:rPr>
                <w:rStyle w:val="5"/>
                <w:rFonts w:hint="eastAsia" w:ascii="宋体" w:hAnsi="宋体" w:eastAsia="宋体" w:cs="宋体"/>
                <w:sz w:val="19"/>
                <w:szCs w:val="19"/>
              </w:rPr>
              <w:t>年预算数</w:t>
            </w:r>
          </w:p>
        </w:tc>
        <w:tc>
          <w:tcPr>
            <w:tcW w:w="2763" w:type="dxa"/>
            <w:gridSpan w:val="3"/>
            <w:vMerge w:val="restart"/>
            <w:tcBorders>
              <w:top w:val="single" w:color="00000A" w:sz="8" w:space="0"/>
              <w:left w:val="nil"/>
              <w:bottom w:val="single" w:color="00000A" w:sz="8" w:space="0"/>
              <w:right w:val="single" w:color="00000A" w:sz="8" w:space="0"/>
            </w:tcBorders>
            <w:tcMar>
              <w:top w:w="0" w:type="dxa"/>
              <w:left w:w="0" w:type="dxa"/>
              <w:bottom w:w="0" w:type="dxa"/>
              <w:right w:w="115" w:type="dxa"/>
            </w:tcMar>
            <w:vAlign w:val="center"/>
          </w:tcPr>
          <w:p w14:paraId="02814686">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Style w:val="5"/>
                <w:sz w:val="19"/>
                <w:szCs w:val="19"/>
              </w:rPr>
              <w:t>2019</w:t>
            </w:r>
            <w:r>
              <w:rPr>
                <w:rStyle w:val="5"/>
                <w:rFonts w:hint="eastAsia" w:ascii="宋体" w:hAnsi="宋体" w:eastAsia="宋体" w:cs="宋体"/>
                <w:sz w:val="19"/>
                <w:szCs w:val="19"/>
              </w:rPr>
              <w:t>年决算数</w:t>
            </w:r>
          </w:p>
        </w:tc>
      </w:tr>
      <w:tr w14:paraId="05925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3284" w:type="dxa"/>
            <w:vMerge w:val="continue"/>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0F551CF3">
            <w:pPr>
              <w:rPr>
                <w:rFonts w:hint="eastAsia" w:ascii="宋体"/>
                <w:sz w:val="24"/>
                <w:szCs w:val="24"/>
              </w:rPr>
            </w:pPr>
          </w:p>
        </w:tc>
        <w:tc>
          <w:tcPr>
            <w:tcW w:w="1737" w:type="dxa"/>
            <w:gridSpan w:val="2"/>
            <w:vMerge w:val="continue"/>
            <w:tcBorders>
              <w:top w:val="single" w:color="00000A" w:sz="8" w:space="0"/>
              <w:left w:val="nil"/>
              <w:bottom w:val="single" w:color="00000A" w:sz="8" w:space="0"/>
              <w:right w:val="single" w:color="00000A" w:sz="8" w:space="0"/>
            </w:tcBorders>
            <w:tcMar>
              <w:top w:w="0" w:type="dxa"/>
              <w:left w:w="0" w:type="dxa"/>
              <w:bottom w:w="0" w:type="dxa"/>
              <w:right w:w="115" w:type="dxa"/>
            </w:tcMar>
            <w:vAlign w:val="center"/>
          </w:tcPr>
          <w:p w14:paraId="600F532F">
            <w:pPr>
              <w:rPr>
                <w:rFonts w:hint="eastAsia" w:ascii="宋体"/>
                <w:sz w:val="24"/>
                <w:szCs w:val="24"/>
              </w:rPr>
            </w:pPr>
          </w:p>
        </w:tc>
        <w:tc>
          <w:tcPr>
            <w:tcW w:w="2116" w:type="dxa"/>
            <w:gridSpan w:val="3"/>
            <w:vMerge w:val="continue"/>
            <w:tcBorders>
              <w:top w:val="single" w:color="00000A" w:sz="8" w:space="0"/>
              <w:left w:val="nil"/>
              <w:bottom w:val="single" w:color="00000A" w:sz="8" w:space="0"/>
              <w:right w:val="single" w:color="00000A" w:sz="8" w:space="0"/>
            </w:tcBorders>
            <w:tcMar>
              <w:top w:w="0" w:type="dxa"/>
              <w:left w:w="0" w:type="dxa"/>
              <w:bottom w:w="0" w:type="dxa"/>
              <w:right w:w="115" w:type="dxa"/>
            </w:tcMar>
            <w:vAlign w:val="center"/>
          </w:tcPr>
          <w:p w14:paraId="0D5190E4">
            <w:pPr>
              <w:rPr>
                <w:rFonts w:hint="eastAsia" w:ascii="宋体"/>
                <w:sz w:val="24"/>
                <w:szCs w:val="24"/>
              </w:rPr>
            </w:pPr>
          </w:p>
        </w:tc>
        <w:tc>
          <w:tcPr>
            <w:tcW w:w="2763" w:type="dxa"/>
            <w:gridSpan w:val="3"/>
            <w:vMerge w:val="continue"/>
            <w:tcBorders>
              <w:top w:val="single" w:color="00000A" w:sz="8" w:space="0"/>
              <w:left w:val="nil"/>
              <w:bottom w:val="single" w:color="00000A" w:sz="8" w:space="0"/>
              <w:right w:val="single" w:color="00000A" w:sz="8" w:space="0"/>
            </w:tcBorders>
            <w:tcMar>
              <w:top w:w="0" w:type="dxa"/>
              <w:left w:w="0" w:type="dxa"/>
              <w:bottom w:w="0" w:type="dxa"/>
              <w:right w:w="115" w:type="dxa"/>
            </w:tcMar>
            <w:vAlign w:val="center"/>
          </w:tcPr>
          <w:p w14:paraId="0EA55CA2">
            <w:pPr>
              <w:rPr>
                <w:rFonts w:hint="eastAsia" w:ascii="宋体"/>
                <w:sz w:val="24"/>
                <w:szCs w:val="24"/>
              </w:rPr>
            </w:pPr>
          </w:p>
        </w:tc>
      </w:tr>
      <w:tr w14:paraId="66783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81" w:hRule="atLeast"/>
          <w:jc w:val="center"/>
        </w:trPr>
        <w:tc>
          <w:tcPr>
            <w:tcW w:w="3284" w:type="dxa"/>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3222B38F">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仿宋_GB2312" w:eastAsia="仿宋_GB2312" w:cs="仿宋_GB2312"/>
                <w:sz w:val="24"/>
                <w:szCs w:val="24"/>
              </w:rPr>
              <w:t>项目支出</w:t>
            </w:r>
          </w:p>
        </w:tc>
        <w:tc>
          <w:tcPr>
            <w:tcW w:w="1737" w:type="dxa"/>
            <w:gridSpan w:val="2"/>
            <w:tcBorders>
              <w:top w:val="nil"/>
              <w:left w:val="nil"/>
              <w:bottom w:val="single" w:color="00000A" w:sz="8" w:space="0"/>
              <w:right w:val="single" w:color="00000A" w:sz="8" w:space="0"/>
            </w:tcBorders>
            <w:tcMar>
              <w:top w:w="0" w:type="dxa"/>
              <w:left w:w="0" w:type="dxa"/>
              <w:bottom w:w="0" w:type="dxa"/>
              <w:right w:w="115" w:type="dxa"/>
            </w:tcMar>
            <w:vAlign w:val="center"/>
          </w:tcPr>
          <w:p w14:paraId="6CB1940D">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6943715.46</w:t>
            </w:r>
          </w:p>
        </w:tc>
        <w:tc>
          <w:tcPr>
            <w:tcW w:w="2116" w:type="dxa"/>
            <w:gridSpan w:val="3"/>
            <w:tcBorders>
              <w:top w:val="nil"/>
              <w:left w:val="nil"/>
              <w:bottom w:val="single" w:color="00000A" w:sz="8" w:space="0"/>
              <w:right w:val="single" w:color="00000A" w:sz="8" w:space="0"/>
            </w:tcBorders>
            <w:tcMar>
              <w:top w:w="0" w:type="dxa"/>
              <w:left w:w="0" w:type="dxa"/>
              <w:bottom w:w="0" w:type="dxa"/>
              <w:right w:w="115" w:type="dxa"/>
            </w:tcMar>
            <w:vAlign w:val="center"/>
          </w:tcPr>
          <w:p w14:paraId="10F6B4E2">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7863700</w:t>
            </w:r>
          </w:p>
        </w:tc>
        <w:tc>
          <w:tcPr>
            <w:tcW w:w="2763" w:type="dxa"/>
            <w:gridSpan w:val="3"/>
            <w:tcBorders>
              <w:top w:val="single" w:color="00000A" w:sz="8" w:space="0"/>
              <w:left w:val="nil"/>
              <w:bottom w:val="single" w:color="00000A" w:sz="8" w:space="0"/>
              <w:right w:val="single" w:color="00000A" w:sz="8" w:space="0"/>
            </w:tcBorders>
            <w:tcMar>
              <w:top w:w="0" w:type="dxa"/>
              <w:left w:w="0" w:type="dxa"/>
              <w:bottom w:w="0" w:type="dxa"/>
              <w:right w:w="115" w:type="dxa"/>
            </w:tcMar>
            <w:vAlign w:val="center"/>
          </w:tcPr>
          <w:p w14:paraId="5CE118BF">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24871273.86</w:t>
            </w:r>
          </w:p>
        </w:tc>
      </w:tr>
      <w:tr w14:paraId="39899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81" w:hRule="atLeast"/>
          <w:jc w:val="center"/>
        </w:trPr>
        <w:tc>
          <w:tcPr>
            <w:tcW w:w="3284" w:type="dxa"/>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7EAB97C3">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仿宋_GB2312" w:eastAsia="仿宋_GB2312" w:cs="仿宋_GB2312"/>
                <w:sz w:val="24"/>
                <w:szCs w:val="24"/>
              </w:rPr>
              <w:t>1.业务工作专项</w:t>
            </w:r>
          </w:p>
        </w:tc>
        <w:tc>
          <w:tcPr>
            <w:tcW w:w="1737" w:type="dxa"/>
            <w:gridSpan w:val="2"/>
            <w:tcBorders>
              <w:top w:val="nil"/>
              <w:left w:val="nil"/>
              <w:bottom w:val="single" w:color="00000A" w:sz="8" w:space="0"/>
              <w:right w:val="single" w:color="00000A" w:sz="8" w:space="0"/>
            </w:tcBorders>
            <w:tcMar>
              <w:top w:w="0" w:type="dxa"/>
              <w:left w:w="0" w:type="dxa"/>
              <w:bottom w:w="0" w:type="dxa"/>
              <w:right w:w="115" w:type="dxa"/>
            </w:tcMar>
            <w:vAlign w:val="center"/>
          </w:tcPr>
          <w:p w14:paraId="02811E7B">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2636775.72</w:t>
            </w:r>
          </w:p>
        </w:tc>
        <w:tc>
          <w:tcPr>
            <w:tcW w:w="2116" w:type="dxa"/>
            <w:gridSpan w:val="3"/>
            <w:tcBorders>
              <w:top w:val="nil"/>
              <w:left w:val="nil"/>
              <w:bottom w:val="single" w:color="00000A" w:sz="8" w:space="0"/>
              <w:right w:val="single" w:color="00000A" w:sz="8" w:space="0"/>
            </w:tcBorders>
            <w:tcMar>
              <w:top w:w="0" w:type="dxa"/>
              <w:left w:w="0" w:type="dxa"/>
              <w:bottom w:w="0" w:type="dxa"/>
              <w:right w:w="115" w:type="dxa"/>
            </w:tcMar>
            <w:vAlign w:val="center"/>
          </w:tcPr>
          <w:p w14:paraId="73B82C16">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2820000</w:t>
            </w:r>
          </w:p>
        </w:tc>
        <w:tc>
          <w:tcPr>
            <w:tcW w:w="2763" w:type="dxa"/>
            <w:gridSpan w:val="3"/>
            <w:tcBorders>
              <w:top w:val="single" w:color="00000A" w:sz="8" w:space="0"/>
              <w:left w:val="nil"/>
              <w:bottom w:val="single" w:color="00000A" w:sz="8" w:space="0"/>
              <w:right w:val="single" w:color="00000A" w:sz="8" w:space="0"/>
            </w:tcBorders>
            <w:tcMar>
              <w:top w:w="0" w:type="dxa"/>
              <w:left w:w="0" w:type="dxa"/>
              <w:bottom w:w="0" w:type="dxa"/>
              <w:right w:w="115" w:type="dxa"/>
            </w:tcMar>
            <w:vAlign w:val="center"/>
          </w:tcPr>
          <w:p w14:paraId="7F542378">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2778124.76</w:t>
            </w:r>
          </w:p>
        </w:tc>
      </w:tr>
      <w:tr w14:paraId="198D3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81" w:hRule="atLeast"/>
          <w:jc w:val="center"/>
        </w:trPr>
        <w:tc>
          <w:tcPr>
            <w:tcW w:w="3284" w:type="dxa"/>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0247F19F">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仿宋_GB2312" w:eastAsia="仿宋_GB2312" w:cs="仿宋_GB2312"/>
                <w:sz w:val="24"/>
                <w:szCs w:val="24"/>
              </w:rPr>
              <w:t>2.运行维护专项</w:t>
            </w:r>
          </w:p>
        </w:tc>
        <w:tc>
          <w:tcPr>
            <w:tcW w:w="1737" w:type="dxa"/>
            <w:gridSpan w:val="2"/>
            <w:tcBorders>
              <w:top w:val="nil"/>
              <w:left w:val="nil"/>
              <w:bottom w:val="single" w:color="00000A" w:sz="8" w:space="0"/>
              <w:right w:val="single" w:color="00000A" w:sz="8" w:space="0"/>
            </w:tcBorders>
            <w:tcMar>
              <w:top w:w="0" w:type="dxa"/>
              <w:left w:w="0" w:type="dxa"/>
              <w:bottom w:w="0" w:type="dxa"/>
              <w:right w:w="115" w:type="dxa"/>
            </w:tcMar>
            <w:vAlign w:val="center"/>
          </w:tcPr>
          <w:p w14:paraId="1C78A9DB">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4306939.74</w:t>
            </w:r>
          </w:p>
        </w:tc>
        <w:tc>
          <w:tcPr>
            <w:tcW w:w="2116" w:type="dxa"/>
            <w:gridSpan w:val="3"/>
            <w:tcBorders>
              <w:top w:val="nil"/>
              <w:left w:val="nil"/>
              <w:bottom w:val="single" w:color="00000A" w:sz="8" w:space="0"/>
              <w:right w:val="single" w:color="00000A" w:sz="8" w:space="0"/>
            </w:tcBorders>
            <w:tcMar>
              <w:top w:w="0" w:type="dxa"/>
              <w:left w:w="0" w:type="dxa"/>
              <w:bottom w:w="0" w:type="dxa"/>
              <w:right w:w="115" w:type="dxa"/>
            </w:tcMar>
            <w:vAlign w:val="center"/>
          </w:tcPr>
          <w:p w14:paraId="05B0E9AF">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5043700</w:t>
            </w:r>
          </w:p>
        </w:tc>
        <w:tc>
          <w:tcPr>
            <w:tcW w:w="2763" w:type="dxa"/>
            <w:gridSpan w:val="3"/>
            <w:tcBorders>
              <w:top w:val="single" w:color="00000A" w:sz="8" w:space="0"/>
              <w:left w:val="nil"/>
              <w:bottom w:val="single" w:color="00000A" w:sz="8" w:space="0"/>
              <w:right w:val="single" w:color="00000A" w:sz="8" w:space="0"/>
            </w:tcBorders>
            <w:tcMar>
              <w:top w:w="0" w:type="dxa"/>
              <w:left w:w="0" w:type="dxa"/>
              <w:bottom w:w="0" w:type="dxa"/>
              <w:right w:w="115" w:type="dxa"/>
            </w:tcMar>
            <w:vAlign w:val="center"/>
          </w:tcPr>
          <w:p w14:paraId="5FDAB792">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22093149.1</w:t>
            </w:r>
          </w:p>
        </w:tc>
      </w:tr>
      <w:tr w14:paraId="548B4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81" w:hRule="atLeast"/>
          <w:jc w:val="center"/>
        </w:trPr>
        <w:tc>
          <w:tcPr>
            <w:tcW w:w="3284" w:type="dxa"/>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4DED43CA">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仿宋_GB2312" w:eastAsia="仿宋_GB2312" w:cs="仿宋_GB2312"/>
                <w:sz w:val="24"/>
                <w:szCs w:val="24"/>
              </w:rPr>
              <w:t>公用经费</w:t>
            </w:r>
          </w:p>
        </w:tc>
        <w:tc>
          <w:tcPr>
            <w:tcW w:w="1737" w:type="dxa"/>
            <w:gridSpan w:val="2"/>
            <w:tcBorders>
              <w:top w:val="nil"/>
              <w:left w:val="nil"/>
              <w:bottom w:val="single" w:color="00000A" w:sz="8" w:space="0"/>
              <w:right w:val="single" w:color="00000A" w:sz="8" w:space="0"/>
            </w:tcBorders>
            <w:tcMar>
              <w:top w:w="0" w:type="dxa"/>
              <w:left w:w="0" w:type="dxa"/>
              <w:bottom w:w="0" w:type="dxa"/>
              <w:right w:w="115" w:type="dxa"/>
            </w:tcMar>
            <w:vAlign w:val="center"/>
          </w:tcPr>
          <w:p w14:paraId="0735D9F4">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866524.98</w:t>
            </w:r>
          </w:p>
        </w:tc>
        <w:tc>
          <w:tcPr>
            <w:tcW w:w="2116" w:type="dxa"/>
            <w:gridSpan w:val="3"/>
            <w:tcBorders>
              <w:top w:val="nil"/>
              <w:left w:val="nil"/>
              <w:bottom w:val="single" w:color="00000A" w:sz="8" w:space="0"/>
              <w:right w:val="single" w:color="00000A" w:sz="8" w:space="0"/>
            </w:tcBorders>
            <w:tcMar>
              <w:top w:w="0" w:type="dxa"/>
              <w:left w:w="0" w:type="dxa"/>
              <w:bottom w:w="0" w:type="dxa"/>
              <w:right w:w="115" w:type="dxa"/>
            </w:tcMar>
            <w:vAlign w:val="center"/>
          </w:tcPr>
          <w:p w14:paraId="0A0F16D2">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930000</w:t>
            </w:r>
          </w:p>
        </w:tc>
        <w:tc>
          <w:tcPr>
            <w:tcW w:w="2763" w:type="dxa"/>
            <w:gridSpan w:val="3"/>
            <w:tcBorders>
              <w:top w:val="single" w:color="00000A" w:sz="8" w:space="0"/>
              <w:left w:val="nil"/>
              <w:bottom w:val="single" w:color="00000A" w:sz="8" w:space="0"/>
              <w:right w:val="single" w:color="00000A" w:sz="8" w:space="0"/>
            </w:tcBorders>
            <w:tcMar>
              <w:top w:w="0" w:type="dxa"/>
              <w:left w:w="0" w:type="dxa"/>
              <w:bottom w:w="0" w:type="dxa"/>
              <w:right w:w="115" w:type="dxa"/>
            </w:tcMar>
            <w:vAlign w:val="center"/>
          </w:tcPr>
          <w:p w14:paraId="56922DF1">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890447.32</w:t>
            </w:r>
          </w:p>
        </w:tc>
      </w:tr>
      <w:tr w14:paraId="17D07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81" w:hRule="atLeast"/>
          <w:jc w:val="center"/>
        </w:trPr>
        <w:tc>
          <w:tcPr>
            <w:tcW w:w="3284" w:type="dxa"/>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5B6F1F17">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仿宋_GB2312" w:eastAsia="仿宋_GB2312" w:cs="仿宋_GB2312"/>
                <w:sz w:val="24"/>
                <w:szCs w:val="24"/>
              </w:rPr>
              <w:t>其中:办公经费</w:t>
            </w:r>
          </w:p>
        </w:tc>
        <w:tc>
          <w:tcPr>
            <w:tcW w:w="1737" w:type="dxa"/>
            <w:gridSpan w:val="2"/>
            <w:tcBorders>
              <w:top w:val="nil"/>
              <w:left w:val="nil"/>
              <w:bottom w:val="single" w:color="00000A" w:sz="8" w:space="0"/>
              <w:right w:val="single" w:color="00000A" w:sz="8" w:space="0"/>
            </w:tcBorders>
            <w:tcMar>
              <w:top w:w="0" w:type="dxa"/>
              <w:left w:w="0" w:type="dxa"/>
              <w:bottom w:w="0" w:type="dxa"/>
              <w:right w:w="115" w:type="dxa"/>
            </w:tcMar>
            <w:vAlign w:val="center"/>
          </w:tcPr>
          <w:p w14:paraId="409A12CB">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17554</w:t>
            </w:r>
          </w:p>
        </w:tc>
        <w:tc>
          <w:tcPr>
            <w:tcW w:w="2116" w:type="dxa"/>
            <w:gridSpan w:val="3"/>
            <w:tcBorders>
              <w:top w:val="nil"/>
              <w:left w:val="nil"/>
              <w:bottom w:val="single" w:color="00000A" w:sz="8" w:space="0"/>
              <w:right w:val="single" w:color="00000A" w:sz="8" w:space="0"/>
            </w:tcBorders>
            <w:tcMar>
              <w:top w:w="0" w:type="dxa"/>
              <w:left w:w="0" w:type="dxa"/>
              <w:bottom w:w="0" w:type="dxa"/>
              <w:right w:w="115" w:type="dxa"/>
            </w:tcMar>
            <w:vAlign w:val="center"/>
          </w:tcPr>
          <w:p w14:paraId="3697846B">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200000</w:t>
            </w:r>
          </w:p>
        </w:tc>
        <w:tc>
          <w:tcPr>
            <w:tcW w:w="2763" w:type="dxa"/>
            <w:gridSpan w:val="3"/>
            <w:tcBorders>
              <w:top w:val="single" w:color="00000A" w:sz="8" w:space="0"/>
              <w:left w:val="nil"/>
              <w:bottom w:val="single" w:color="00000A" w:sz="8" w:space="0"/>
              <w:right w:val="single" w:color="00000A" w:sz="8" w:space="0"/>
            </w:tcBorders>
            <w:tcMar>
              <w:top w:w="0" w:type="dxa"/>
              <w:left w:w="0" w:type="dxa"/>
              <w:bottom w:w="0" w:type="dxa"/>
              <w:right w:w="115" w:type="dxa"/>
            </w:tcMar>
            <w:vAlign w:val="center"/>
          </w:tcPr>
          <w:p w14:paraId="0E638D30">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1961</w:t>
            </w:r>
          </w:p>
        </w:tc>
      </w:tr>
      <w:tr w14:paraId="4976D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81" w:hRule="atLeast"/>
          <w:jc w:val="center"/>
        </w:trPr>
        <w:tc>
          <w:tcPr>
            <w:tcW w:w="3284" w:type="dxa"/>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1E1E330A">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仿宋_GB2312" w:eastAsia="仿宋_GB2312" w:cs="仿宋_GB2312"/>
                <w:sz w:val="24"/>
                <w:szCs w:val="24"/>
              </w:rPr>
              <w:t>水费、电费、差旅费</w:t>
            </w:r>
          </w:p>
        </w:tc>
        <w:tc>
          <w:tcPr>
            <w:tcW w:w="1737" w:type="dxa"/>
            <w:gridSpan w:val="2"/>
            <w:tcBorders>
              <w:top w:val="nil"/>
              <w:left w:val="nil"/>
              <w:bottom w:val="single" w:color="00000A" w:sz="8" w:space="0"/>
              <w:right w:val="single" w:color="00000A" w:sz="8" w:space="0"/>
            </w:tcBorders>
            <w:tcMar>
              <w:top w:w="0" w:type="dxa"/>
              <w:left w:w="0" w:type="dxa"/>
              <w:bottom w:w="0" w:type="dxa"/>
              <w:right w:w="115" w:type="dxa"/>
            </w:tcMar>
            <w:vAlign w:val="center"/>
          </w:tcPr>
          <w:p w14:paraId="6EF8DE11">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0</w:t>
            </w:r>
          </w:p>
        </w:tc>
        <w:tc>
          <w:tcPr>
            <w:tcW w:w="2116" w:type="dxa"/>
            <w:gridSpan w:val="3"/>
            <w:tcBorders>
              <w:top w:val="nil"/>
              <w:left w:val="nil"/>
              <w:bottom w:val="single" w:color="00000A" w:sz="8" w:space="0"/>
              <w:right w:val="single" w:color="00000A" w:sz="8" w:space="0"/>
            </w:tcBorders>
            <w:tcMar>
              <w:top w:w="0" w:type="dxa"/>
              <w:left w:w="0" w:type="dxa"/>
              <w:bottom w:w="0" w:type="dxa"/>
              <w:right w:w="115" w:type="dxa"/>
            </w:tcMar>
            <w:vAlign w:val="center"/>
          </w:tcPr>
          <w:p w14:paraId="2AC96ABE">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20000</w:t>
            </w:r>
          </w:p>
        </w:tc>
        <w:tc>
          <w:tcPr>
            <w:tcW w:w="2763" w:type="dxa"/>
            <w:gridSpan w:val="3"/>
            <w:tcBorders>
              <w:top w:val="single" w:color="00000A" w:sz="8" w:space="0"/>
              <w:left w:val="nil"/>
              <w:bottom w:val="single" w:color="00000A" w:sz="8" w:space="0"/>
              <w:right w:val="single" w:color="00000A" w:sz="8" w:space="0"/>
            </w:tcBorders>
            <w:tcMar>
              <w:top w:w="0" w:type="dxa"/>
              <w:left w:w="0" w:type="dxa"/>
              <w:bottom w:w="0" w:type="dxa"/>
              <w:right w:w="115" w:type="dxa"/>
            </w:tcMar>
            <w:vAlign w:val="center"/>
          </w:tcPr>
          <w:p w14:paraId="73AC01A0">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4696</w:t>
            </w:r>
          </w:p>
        </w:tc>
      </w:tr>
      <w:tr w14:paraId="2A2A8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81" w:hRule="atLeast"/>
          <w:jc w:val="center"/>
        </w:trPr>
        <w:tc>
          <w:tcPr>
            <w:tcW w:w="3284" w:type="dxa"/>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7C8AD2D3">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仿宋_GB2312" w:eastAsia="仿宋_GB2312" w:cs="仿宋_GB2312"/>
                <w:sz w:val="24"/>
                <w:szCs w:val="24"/>
              </w:rPr>
              <w:t>会议费、培训费</w:t>
            </w:r>
          </w:p>
        </w:tc>
        <w:tc>
          <w:tcPr>
            <w:tcW w:w="1737" w:type="dxa"/>
            <w:gridSpan w:val="2"/>
            <w:tcBorders>
              <w:top w:val="nil"/>
              <w:left w:val="nil"/>
              <w:bottom w:val="single" w:color="00000A" w:sz="8" w:space="0"/>
              <w:right w:val="single" w:color="00000A" w:sz="8" w:space="0"/>
            </w:tcBorders>
            <w:tcMar>
              <w:top w:w="0" w:type="dxa"/>
              <w:left w:w="0" w:type="dxa"/>
              <w:bottom w:w="0" w:type="dxa"/>
              <w:right w:w="115" w:type="dxa"/>
            </w:tcMar>
            <w:vAlign w:val="center"/>
          </w:tcPr>
          <w:p w14:paraId="2D460D57">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0</w:t>
            </w:r>
          </w:p>
        </w:tc>
        <w:tc>
          <w:tcPr>
            <w:tcW w:w="2116" w:type="dxa"/>
            <w:gridSpan w:val="3"/>
            <w:tcBorders>
              <w:top w:val="nil"/>
              <w:left w:val="nil"/>
              <w:bottom w:val="single" w:color="00000A" w:sz="8" w:space="0"/>
              <w:right w:val="single" w:color="00000A" w:sz="8" w:space="0"/>
            </w:tcBorders>
            <w:tcMar>
              <w:top w:w="0" w:type="dxa"/>
              <w:left w:w="0" w:type="dxa"/>
              <w:bottom w:w="0" w:type="dxa"/>
              <w:right w:w="115" w:type="dxa"/>
            </w:tcMar>
            <w:vAlign w:val="center"/>
          </w:tcPr>
          <w:p w14:paraId="75D5FB01">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0</w:t>
            </w:r>
          </w:p>
        </w:tc>
        <w:tc>
          <w:tcPr>
            <w:tcW w:w="2763" w:type="dxa"/>
            <w:gridSpan w:val="3"/>
            <w:tcBorders>
              <w:top w:val="single" w:color="00000A" w:sz="8" w:space="0"/>
              <w:left w:val="nil"/>
              <w:bottom w:val="single" w:color="00000A" w:sz="8" w:space="0"/>
              <w:right w:val="single" w:color="00000A" w:sz="8" w:space="0"/>
            </w:tcBorders>
            <w:tcMar>
              <w:top w:w="0" w:type="dxa"/>
              <w:left w:w="0" w:type="dxa"/>
              <w:bottom w:w="0" w:type="dxa"/>
              <w:right w:w="115" w:type="dxa"/>
            </w:tcMar>
            <w:vAlign w:val="center"/>
          </w:tcPr>
          <w:p w14:paraId="0ACBCE02">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0</w:t>
            </w:r>
          </w:p>
        </w:tc>
      </w:tr>
      <w:tr w14:paraId="5C39C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81" w:hRule="atLeast"/>
          <w:jc w:val="center"/>
        </w:trPr>
        <w:tc>
          <w:tcPr>
            <w:tcW w:w="3284" w:type="dxa"/>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6791EA9E">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仿宋_GB2312" w:eastAsia="仿宋_GB2312" w:cs="仿宋_GB2312"/>
                <w:sz w:val="24"/>
                <w:szCs w:val="24"/>
              </w:rPr>
              <w:t>政府采购金额</w:t>
            </w:r>
          </w:p>
        </w:tc>
        <w:tc>
          <w:tcPr>
            <w:tcW w:w="1737" w:type="dxa"/>
            <w:gridSpan w:val="2"/>
            <w:tcBorders>
              <w:top w:val="nil"/>
              <w:left w:val="nil"/>
              <w:bottom w:val="single" w:color="00000A" w:sz="8" w:space="0"/>
              <w:right w:val="single" w:color="00000A" w:sz="8" w:space="0"/>
            </w:tcBorders>
            <w:tcMar>
              <w:top w:w="0" w:type="dxa"/>
              <w:left w:w="0" w:type="dxa"/>
              <w:bottom w:w="0" w:type="dxa"/>
              <w:right w:w="115" w:type="dxa"/>
            </w:tcMar>
            <w:vAlign w:val="center"/>
          </w:tcPr>
          <w:p w14:paraId="747E8875">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419628.2</w:t>
            </w:r>
          </w:p>
        </w:tc>
        <w:tc>
          <w:tcPr>
            <w:tcW w:w="2116" w:type="dxa"/>
            <w:gridSpan w:val="3"/>
            <w:tcBorders>
              <w:top w:val="nil"/>
              <w:left w:val="nil"/>
              <w:bottom w:val="single" w:color="00000A" w:sz="8" w:space="0"/>
              <w:right w:val="single" w:color="00000A" w:sz="8" w:space="0"/>
            </w:tcBorders>
            <w:tcMar>
              <w:top w:w="0" w:type="dxa"/>
              <w:left w:w="0" w:type="dxa"/>
              <w:bottom w:w="0" w:type="dxa"/>
              <w:right w:w="115" w:type="dxa"/>
            </w:tcMar>
            <w:vAlign w:val="center"/>
          </w:tcPr>
          <w:p w14:paraId="65102319">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120000</w:t>
            </w:r>
          </w:p>
        </w:tc>
        <w:tc>
          <w:tcPr>
            <w:tcW w:w="2763" w:type="dxa"/>
            <w:gridSpan w:val="3"/>
            <w:tcBorders>
              <w:top w:val="single" w:color="00000A" w:sz="8" w:space="0"/>
              <w:left w:val="nil"/>
              <w:bottom w:val="single" w:color="00000A" w:sz="8" w:space="0"/>
              <w:right w:val="single" w:color="00000A" w:sz="8" w:space="0"/>
            </w:tcBorders>
            <w:tcMar>
              <w:top w:w="0" w:type="dxa"/>
              <w:left w:w="0" w:type="dxa"/>
              <w:bottom w:w="0" w:type="dxa"/>
              <w:right w:w="115" w:type="dxa"/>
            </w:tcMar>
            <w:vAlign w:val="center"/>
          </w:tcPr>
          <w:p w14:paraId="3E59B1BC">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1192500</w:t>
            </w:r>
          </w:p>
        </w:tc>
      </w:tr>
      <w:tr w14:paraId="7658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81" w:hRule="atLeast"/>
          <w:jc w:val="center"/>
        </w:trPr>
        <w:tc>
          <w:tcPr>
            <w:tcW w:w="3284" w:type="dxa"/>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437D17E9">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仿宋_GB2312" w:eastAsia="仿宋_GB2312" w:cs="仿宋_GB2312"/>
                <w:sz w:val="24"/>
                <w:szCs w:val="24"/>
              </w:rPr>
              <w:t>部门整体支出预算调整</w:t>
            </w:r>
          </w:p>
        </w:tc>
        <w:tc>
          <w:tcPr>
            <w:tcW w:w="1737" w:type="dxa"/>
            <w:gridSpan w:val="2"/>
            <w:tcBorders>
              <w:top w:val="nil"/>
              <w:left w:val="nil"/>
              <w:bottom w:val="single" w:color="00000A" w:sz="8" w:space="0"/>
              <w:right w:val="single" w:color="00000A" w:sz="8" w:space="0"/>
            </w:tcBorders>
            <w:tcMar>
              <w:top w:w="0" w:type="dxa"/>
              <w:left w:w="0" w:type="dxa"/>
              <w:bottom w:w="0" w:type="dxa"/>
              <w:right w:w="115" w:type="dxa"/>
            </w:tcMar>
            <w:vAlign w:val="center"/>
          </w:tcPr>
          <w:p w14:paraId="6584F2C3">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null</w:t>
            </w:r>
          </w:p>
        </w:tc>
        <w:tc>
          <w:tcPr>
            <w:tcW w:w="2116" w:type="dxa"/>
            <w:gridSpan w:val="3"/>
            <w:tcBorders>
              <w:top w:val="nil"/>
              <w:left w:val="nil"/>
              <w:bottom w:val="single" w:color="00000A" w:sz="8" w:space="0"/>
              <w:right w:val="single" w:color="00000A" w:sz="8" w:space="0"/>
            </w:tcBorders>
            <w:tcMar>
              <w:top w:w="0" w:type="dxa"/>
              <w:left w:w="0" w:type="dxa"/>
              <w:bottom w:w="0" w:type="dxa"/>
              <w:right w:w="115" w:type="dxa"/>
            </w:tcMar>
            <w:vAlign w:val="center"/>
          </w:tcPr>
          <w:p w14:paraId="5B159BAE">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null</w:t>
            </w:r>
          </w:p>
        </w:tc>
        <w:tc>
          <w:tcPr>
            <w:tcW w:w="2763" w:type="dxa"/>
            <w:gridSpan w:val="3"/>
            <w:tcBorders>
              <w:top w:val="single" w:color="00000A" w:sz="8" w:space="0"/>
              <w:left w:val="nil"/>
              <w:bottom w:val="single" w:color="00000A" w:sz="8" w:space="0"/>
              <w:right w:val="single" w:color="00000A" w:sz="8" w:space="0"/>
            </w:tcBorders>
            <w:tcMar>
              <w:top w:w="0" w:type="dxa"/>
              <w:left w:w="0" w:type="dxa"/>
              <w:bottom w:w="0" w:type="dxa"/>
              <w:right w:w="115" w:type="dxa"/>
            </w:tcMar>
            <w:vAlign w:val="center"/>
          </w:tcPr>
          <w:p w14:paraId="04B317D3">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null</w:t>
            </w:r>
          </w:p>
        </w:tc>
      </w:tr>
      <w:tr w14:paraId="0EF1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81" w:hRule="atLeast"/>
          <w:jc w:val="center"/>
        </w:trPr>
        <w:tc>
          <w:tcPr>
            <w:tcW w:w="3284" w:type="dxa"/>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4E9CD395">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仿宋_GB2312" w:eastAsia="仿宋_GB2312" w:cs="仿宋_GB2312"/>
                <w:sz w:val="24"/>
                <w:szCs w:val="24"/>
              </w:rPr>
              <w:t>三公经费</w:t>
            </w:r>
          </w:p>
        </w:tc>
        <w:tc>
          <w:tcPr>
            <w:tcW w:w="1737" w:type="dxa"/>
            <w:gridSpan w:val="2"/>
            <w:tcBorders>
              <w:top w:val="nil"/>
              <w:left w:val="nil"/>
              <w:bottom w:val="single" w:color="00000A" w:sz="8" w:space="0"/>
              <w:right w:val="single" w:color="00000A" w:sz="8" w:space="0"/>
            </w:tcBorders>
            <w:tcMar>
              <w:top w:w="0" w:type="dxa"/>
              <w:left w:w="0" w:type="dxa"/>
              <w:bottom w:w="0" w:type="dxa"/>
              <w:right w:w="115" w:type="dxa"/>
            </w:tcMar>
            <w:vAlign w:val="center"/>
          </w:tcPr>
          <w:p w14:paraId="37052FD0">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110102.35</w:t>
            </w:r>
          </w:p>
        </w:tc>
        <w:tc>
          <w:tcPr>
            <w:tcW w:w="2116" w:type="dxa"/>
            <w:gridSpan w:val="3"/>
            <w:tcBorders>
              <w:top w:val="nil"/>
              <w:left w:val="nil"/>
              <w:bottom w:val="single" w:color="00000A" w:sz="8" w:space="0"/>
              <w:right w:val="single" w:color="00000A" w:sz="8" w:space="0"/>
            </w:tcBorders>
            <w:tcMar>
              <w:top w:w="0" w:type="dxa"/>
              <w:left w:w="0" w:type="dxa"/>
              <w:bottom w:w="0" w:type="dxa"/>
              <w:right w:w="115" w:type="dxa"/>
            </w:tcMar>
            <w:vAlign w:val="center"/>
          </w:tcPr>
          <w:p w14:paraId="7C85590C">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180000</w:t>
            </w:r>
          </w:p>
        </w:tc>
        <w:tc>
          <w:tcPr>
            <w:tcW w:w="2763" w:type="dxa"/>
            <w:gridSpan w:val="3"/>
            <w:tcBorders>
              <w:top w:val="single" w:color="00000A" w:sz="8" w:space="0"/>
              <w:left w:val="nil"/>
              <w:bottom w:val="single" w:color="00000A" w:sz="8" w:space="0"/>
              <w:right w:val="single" w:color="00000A" w:sz="8" w:space="0"/>
            </w:tcBorders>
            <w:tcMar>
              <w:top w:w="0" w:type="dxa"/>
              <w:left w:w="0" w:type="dxa"/>
              <w:bottom w:w="0" w:type="dxa"/>
              <w:right w:w="115" w:type="dxa"/>
            </w:tcMar>
            <w:vAlign w:val="center"/>
          </w:tcPr>
          <w:p w14:paraId="5F47C052">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139069.16</w:t>
            </w:r>
          </w:p>
        </w:tc>
      </w:tr>
      <w:tr w14:paraId="51721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81" w:hRule="atLeast"/>
          <w:jc w:val="center"/>
        </w:trPr>
        <w:tc>
          <w:tcPr>
            <w:tcW w:w="3284" w:type="dxa"/>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1B3DD84F">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仿宋_GB2312" w:eastAsia="仿宋_GB2312" w:cs="仿宋_GB2312"/>
                <w:sz w:val="24"/>
                <w:szCs w:val="24"/>
              </w:rPr>
              <w:t>2.出国经费</w:t>
            </w:r>
          </w:p>
        </w:tc>
        <w:tc>
          <w:tcPr>
            <w:tcW w:w="1737" w:type="dxa"/>
            <w:gridSpan w:val="2"/>
            <w:tcBorders>
              <w:top w:val="nil"/>
              <w:left w:val="nil"/>
              <w:bottom w:val="single" w:color="00000A" w:sz="8" w:space="0"/>
              <w:right w:val="single" w:color="00000A" w:sz="8" w:space="0"/>
            </w:tcBorders>
            <w:tcMar>
              <w:top w:w="0" w:type="dxa"/>
              <w:left w:w="0" w:type="dxa"/>
              <w:bottom w:w="0" w:type="dxa"/>
              <w:right w:w="115" w:type="dxa"/>
            </w:tcMar>
            <w:vAlign w:val="center"/>
          </w:tcPr>
          <w:p w14:paraId="3CAD4189">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0</w:t>
            </w:r>
          </w:p>
        </w:tc>
        <w:tc>
          <w:tcPr>
            <w:tcW w:w="2116" w:type="dxa"/>
            <w:gridSpan w:val="3"/>
            <w:tcBorders>
              <w:top w:val="nil"/>
              <w:left w:val="nil"/>
              <w:bottom w:val="single" w:color="00000A" w:sz="8" w:space="0"/>
              <w:right w:val="single" w:color="00000A" w:sz="8" w:space="0"/>
            </w:tcBorders>
            <w:tcMar>
              <w:top w:w="0" w:type="dxa"/>
              <w:left w:w="0" w:type="dxa"/>
              <w:bottom w:w="0" w:type="dxa"/>
              <w:right w:w="115" w:type="dxa"/>
            </w:tcMar>
            <w:vAlign w:val="center"/>
          </w:tcPr>
          <w:p w14:paraId="63DFEAED">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0</w:t>
            </w:r>
          </w:p>
        </w:tc>
        <w:tc>
          <w:tcPr>
            <w:tcW w:w="2763" w:type="dxa"/>
            <w:gridSpan w:val="3"/>
            <w:tcBorders>
              <w:top w:val="single" w:color="00000A" w:sz="8" w:space="0"/>
              <w:left w:val="nil"/>
              <w:bottom w:val="single" w:color="00000A" w:sz="8" w:space="0"/>
              <w:right w:val="single" w:color="00000A" w:sz="8" w:space="0"/>
            </w:tcBorders>
            <w:tcMar>
              <w:top w:w="0" w:type="dxa"/>
              <w:left w:w="0" w:type="dxa"/>
              <w:bottom w:w="0" w:type="dxa"/>
              <w:right w:w="115" w:type="dxa"/>
            </w:tcMar>
            <w:vAlign w:val="center"/>
          </w:tcPr>
          <w:p w14:paraId="0AEC53F6">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0</w:t>
            </w:r>
          </w:p>
        </w:tc>
      </w:tr>
      <w:tr w14:paraId="0E4E7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81" w:hRule="atLeast"/>
          <w:jc w:val="center"/>
        </w:trPr>
        <w:tc>
          <w:tcPr>
            <w:tcW w:w="3284" w:type="dxa"/>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2926E260">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仿宋_GB2312" w:eastAsia="仿宋_GB2312" w:cs="仿宋_GB2312"/>
                <w:sz w:val="24"/>
                <w:szCs w:val="24"/>
              </w:rPr>
              <w:t>3.公务接待</w:t>
            </w:r>
          </w:p>
        </w:tc>
        <w:tc>
          <w:tcPr>
            <w:tcW w:w="1737" w:type="dxa"/>
            <w:gridSpan w:val="2"/>
            <w:tcBorders>
              <w:top w:val="nil"/>
              <w:left w:val="nil"/>
              <w:bottom w:val="single" w:color="00000A" w:sz="8" w:space="0"/>
              <w:right w:val="single" w:color="00000A" w:sz="8" w:space="0"/>
            </w:tcBorders>
            <w:tcMar>
              <w:top w:w="0" w:type="dxa"/>
              <w:left w:w="0" w:type="dxa"/>
              <w:bottom w:w="0" w:type="dxa"/>
              <w:right w:w="115" w:type="dxa"/>
            </w:tcMar>
            <w:vAlign w:val="center"/>
          </w:tcPr>
          <w:p w14:paraId="164DEE6A">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12034</w:t>
            </w:r>
          </w:p>
        </w:tc>
        <w:tc>
          <w:tcPr>
            <w:tcW w:w="2116" w:type="dxa"/>
            <w:gridSpan w:val="3"/>
            <w:tcBorders>
              <w:top w:val="nil"/>
              <w:left w:val="nil"/>
              <w:bottom w:val="single" w:color="00000A" w:sz="8" w:space="0"/>
              <w:right w:val="single" w:color="00000A" w:sz="8" w:space="0"/>
            </w:tcBorders>
            <w:tcMar>
              <w:top w:w="0" w:type="dxa"/>
              <w:left w:w="0" w:type="dxa"/>
              <w:bottom w:w="0" w:type="dxa"/>
              <w:right w:w="115" w:type="dxa"/>
            </w:tcMar>
            <w:vAlign w:val="center"/>
          </w:tcPr>
          <w:p w14:paraId="3A87FC40">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80000</w:t>
            </w:r>
          </w:p>
        </w:tc>
        <w:tc>
          <w:tcPr>
            <w:tcW w:w="2763" w:type="dxa"/>
            <w:gridSpan w:val="3"/>
            <w:tcBorders>
              <w:top w:val="single" w:color="00000A" w:sz="8" w:space="0"/>
              <w:left w:val="nil"/>
              <w:bottom w:val="single" w:color="00000A" w:sz="8" w:space="0"/>
              <w:right w:val="single" w:color="00000A" w:sz="8" w:space="0"/>
            </w:tcBorders>
            <w:tcMar>
              <w:top w:w="0" w:type="dxa"/>
              <w:left w:w="0" w:type="dxa"/>
              <w:bottom w:w="0" w:type="dxa"/>
              <w:right w:w="115" w:type="dxa"/>
            </w:tcMar>
            <w:vAlign w:val="center"/>
          </w:tcPr>
          <w:p w14:paraId="33128694">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39292</w:t>
            </w:r>
          </w:p>
        </w:tc>
      </w:tr>
      <w:tr w14:paraId="3C7B9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81" w:hRule="atLeast"/>
          <w:jc w:val="center"/>
        </w:trPr>
        <w:tc>
          <w:tcPr>
            <w:tcW w:w="3284" w:type="dxa"/>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4C841DD8">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仿宋_GB2312" w:eastAsia="仿宋_GB2312" w:cs="仿宋_GB2312"/>
                <w:sz w:val="24"/>
                <w:szCs w:val="24"/>
              </w:rPr>
              <w:t>1.公务用车配置和维护经费</w:t>
            </w:r>
          </w:p>
        </w:tc>
        <w:tc>
          <w:tcPr>
            <w:tcW w:w="1737" w:type="dxa"/>
            <w:gridSpan w:val="2"/>
            <w:tcBorders>
              <w:top w:val="nil"/>
              <w:left w:val="nil"/>
              <w:bottom w:val="single" w:color="00000A" w:sz="8" w:space="0"/>
              <w:right w:val="single" w:color="00000A" w:sz="8" w:space="0"/>
            </w:tcBorders>
            <w:tcMar>
              <w:top w:w="0" w:type="dxa"/>
              <w:left w:w="0" w:type="dxa"/>
              <w:bottom w:w="0" w:type="dxa"/>
              <w:right w:w="115" w:type="dxa"/>
            </w:tcMar>
            <w:vAlign w:val="center"/>
          </w:tcPr>
          <w:p w14:paraId="195E6C3E">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98068.35</w:t>
            </w:r>
          </w:p>
        </w:tc>
        <w:tc>
          <w:tcPr>
            <w:tcW w:w="2116" w:type="dxa"/>
            <w:gridSpan w:val="3"/>
            <w:tcBorders>
              <w:top w:val="nil"/>
              <w:left w:val="nil"/>
              <w:bottom w:val="single" w:color="00000A" w:sz="8" w:space="0"/>
              <w:right w:val="single" w:color="00000A" w:sz="8" w:space="0"/>
            </w:tcBorders>
            <w:tcMar>
              <w:top w:w="0" w:type="dxa"/>
              <w:left w:w="0" w:type="dxa"/>
              <w:bottom w:w="0" w:type="dxa"/>
              <w:right w:w="115" w:type="dxa"/>
            </w:tcMar>
            <w:vAlign w:val="center"/>
          </w:tcPr>
          <w:p w14:paraId="4185776D">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274900</w:t>
            </w:r>
          </w:p>
        </w:tc>
        <w:tc>
          <w:tcPr>
            <w:tcW w:w="2763" w:type="dxa"/>
            <w:gridSpan w:val="3"/>
            <w:tcBorders>
              <w:top w:val="single" w:color="00000A" w:sz="8" w:space="0"/>
              <w:left w:val="nil"/>
              <w:bottom w:val="single" w:color="00000A" w:sz="8" w:space="0"/>
              <w:right w:val="single" w:color="00000A" w:sz="8" w:space="0"/>
            </w:tcBorders>
            <w:tcMar>
              <w:top w:w="0" w:type="dxa"/>
              <w:left w:w="0" w:type="dxa"/>
              <w:bottom w:w="0" w:type="dxa"/>
              <w:right w:w="115" w:type="dxa"/>
            </w:tcMar>
            <w:vAlign w:val="center"/>
          </w:tcPr>
          <w:p w14:paraId="4819F3D1">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274677.16</w:t>
            </w:r>
          </w:p>
        </w:tc>
      </w:tr>
      <w:tr w14:paraId="49655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81" w:hRule="atLeast"/>
          <w:jc w:val="center"/>
        </w:trPr>
        <w:tc>
          <w:tcPr>
            <w:tcW w:w="3284" w:type="dxa"/>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08F0C9E9">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仿宋_GB2312" w:eastAsia="仿宋_GB2312" w:cs="仿宋_GB2312"/>
                <w:sz w:val="24"/>
                <w:szCs w:val="24"/>
              </w:rPr>
              <w:t>其中:公车购置</w:t>
            </w:r>
          </w:p>
        </w:tc>
        <w:tc>
          <w:tcPr>
            <w:tcW w:w="1737" w:type="dxa"/>
            <w:gridSpan w:val="2"/>
            <w:tcBorders>
              <w:top w:val="nil"/>
              <w:left w:val="nil"/>
              <w:bottom w:val="single" w:color="00000A" w:sz="8" w:space="0"/>
              <w:right w:val="single" w:color="00000A" w:sz="8" w:space="0"/>
            </w:tcBorders>
            <w:tcMar>
              <w:top w:w="0" w:type="dxa"/>
              <w:left w:w="0" w:type="dxa"/>
              <w:bottom w:w="0" w:type="dxa"/>
              <w:right w:w="115" w:type="dxa"/>
            </w:tcMar>
            <w:vAlign w:val="center"/>
          </w:tcPr>
          <w:p w14:paraId="5A756CC5">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0</w:t>
            </w:r>
          </w:p>
        </w:tc>
        <w:tc>
          <w:tcPr>
            <w:tcW w:w="2116" w:type="dxa"/>
            <w:gridSpan w:val="3"/>
            <w:tcBorders>
              <w:top w:val="nil"/>
              <w:left w:val="nil"/>
              <w:bottom w:val="single" w:color="00000A" w:sz="8" w:space="0"/>
              <w:right w:val="single" w:color="00000A" w:sz="8" w:space="0"/>
            </w:tcBorders>
            <w:tcMar>
              <w:top w:w="0" w:type="dxa"/>
              <w:left w:w="0" w:type="dxa"/>
              <w:bottom w:w="0" w:type="dxa"/>
              <w:right w:w="115" w:type="dxa"/>
            </w:tcMar>
            <w:vAlign w:val="center"/>
          </w:tcPr>
          <w:p w14:paraId="746E7C3F">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174900</w:t>
            </w:r>
          </w:p>
        </w:tc>
        <w:tc>
          <w:tcPr>
            <w:tcW w:w="2763" w:type="dxa"/>
            <w:gridSpan w:val="3"/>
            <w:tcBorders>
              <w:top w:val="single" w:color="00000A" w:sz="8" w:space="0"/>
              <w:left w:val="nil"/>
              <w:bottom w:val="single" w:color="00000A" w:sz="8" w:space="0"/>
              <w:right w:val="single" w:color="00000A" w:sz="8" w:space="0"/>
            </w:tcBorders>
            <w:tcMar>
              <w:top w:w="0" w:type="dxa"/>
              <w:left w:w="0" w:type="dxa"/>
              <w:bottom w:w="0" w:type="dxa"/>
              <w:right w:w="115" w:type="dxa"/>
            </w:tcMar>
            <w:vAlign w:val="center"/>
          </w:tcPr>
          <w:p w14:paraId="28D28235">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174900</w:t>
            </w:r>
          </w:p>
        </w:tc>
      </w:tr>
      <w:tr w14:paraId="55CE9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81" w:hRule="atLeast"/>
          <w:jc w:val="center"/>
        </w:trPr>
        <w:tc>
          <w:tcPr>
            <w:tcW w:w="3284" w:type="dxa"/>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2D0C2815">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仿宋_GB2312" w:eastAsia="仿宋_GB2312" w:cs="仿宋_GB2312"/>
                <w:sz w:val="24"/>
                <w:szCs w:val="24"/>
              </w:rPr>
              <w:t>公车运行维护</w:t>
            </w:r>
          </w:p>
        </w:tc>
        <w:tc>
          <w:tcPr>
            <w:tcW w:w="1737" w:type="dxa"/>
            <w:gridSpan w:val="2"/>
            <w:tcBorders>
              <w:top w:val="nil"/>
              <w:left w:val="nil"/>
              <w:bottom w:val="single" w:color="00000A" w:sz="8" w:space="0"/>
              <w:right w:val="single" w:color="00000A" w:sz="8" w:space="0"/>
            </w:tcBorders>
            <w:tcMar>
              <w:top w:w="0" w:type="dxa"/>
              <w:left w:w="0" w:type="dxa"/>
              <w:bottom w:w="0" w:type="dxa"/>
              <w:right w:w="115" w:type="dxa"/>
            </w:tcMar>
            <w:vAlign w:val="center"/>
          </w:tcPr>
          <w:p w14:paraId="655CB8CB">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98068.35</w:t>
            </w:r>
          </w:p>
        </w:tc>
        <w:tc>
          <w:tcPr>
            <w:tcW w:w="2116" w:type="dxa"/>
            <w:gridSpan w:val="3"/>
            <w:tcBorders>
              <w:top w:val="nil"/>
              <w:left w:val="nil"/>
              <w:bottom w:val="single" w:color="00000A" w:sz="8" w:space="0"/>
              <w:right w:val="single" w:color="00000A" w:sz="8" w:space="0"/>
            </w:tcBorders>
            <w:tcMar>
              <w:top w:w="0" w:type="dxa"/>
              <w:left w:w="0" w:type="dxa"/>
              <w:bottom w:w="0" w:type="dxa"/>
              <w:right w:w="115" w:type="dxa"/>
            </w:tcMar>
            <w:vAlign w:val="center"/>
          </w:tcPr>
          <w:p w14:paraId="38658FF7">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100000</w:t>
            </w:r>
          </w:p>
        </w:tc>
        <w:tc>
          <w:tcPr>
            <w:tcW w:w="2763" w:type="dxa"/>
            <w:gridSpan w:val="3"/>
            <w:tcBorders>
              <w:top w:val="single" w:color="00000A" w:sz="8" w:space="0"/>
              <w:left w:val="nil"/>
              <w:bottom w:val="single" w:color="00000A" w:sz="8" w:space="0"/>
              <w:right w:val="single" w:color="00000A" w:sz="8" w:space="0"/>
            </w:tcBorders>
            <w:tcMar>
              <w:top w:w="0" w:type="dxa"/>
              <w:left w:w="0" w:type="dxa"/>
              <w:bottom w:w="0" w:type="dxa"/>
              <w:right w:w="115" w:type="dxa"/>
            </w:tcMar>
            <w:vAlign w:val="center"/>
          </w:tcPr>
          <w:p w14:paraId="1E2B51C5">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99777.16</w:t>
            </w:r>
          </w:p>
        </w:tc>
      </w:tr>
      <w:tr w14:paraId="5B00B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3284" w:type="dxa"/>
            <w:vMerge w:val="restart"/>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231F345E">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楼堂馆所控制情况</w:t>
            </w:r>
          </w:p>
          <w:p w14:paraId="307A90FA">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sz w:val="19"/>
                <w:szCs w:val="19"/>
              </w:rPr>
              <w:t>(2019</w:t>
            </w:r>
            <w:r>
              <w:rPr>
                <w:rFonts w:hint="default" w:ascii="仿宋_GB2312" w:eastAsia="仿宋_GB2312" w:cs="仿宋_GB2312"/>
                <w:sz w:val="24"/>
                <w:szCs w:val="24"/>
              </w:rPr>
              <w:t>年完工项目）</w:t>
            </w:r>
          </w:p>
        </w:tc>
        <w:tc>
          <w:tcPr>
            <w:tcW w:w="1626" w:type="dxa"/>
            <w:vMerge w:val="restart"/>
            <w:tcBorders>
              <w:top w:val="nil"/>
              <w:left w:val="nil"/>
              <w:bottom w:val="single" w:color="00000A" w:sz="8" w:space="0"/>
              <w:right w:val="single" w:color="00000A" w:sz="8" w:space="0"/>
            </w:tcBorders>
            <w:tcMar>
              <w:top w:w="0" w:type="dxa"/>
              <w:left w:w="0" w:type="dxa"/>
              <w:bottom w:w="0" w:type="dxa"/>
              <w:right w:w="115" w:type="dxa"/>
            </w:tcMar>
            <w:vAlign w:val="center"/>
          </w:tcPr>
          <w:p w14:paraId="6010F935">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批复规模（㎡）</w:t>
            </w:r>
          </w:p>
        </w:tc>
        <w:tc>
          <w:tcPr>
            <w:tcW w:w="1169" w:type="dxa"/>
            <w:gridSpan w:val="2"/>
            <w:vMerge w:val="restart"/>
            <w:tcBorders>
              <w:top w:val="nil"/>
              <w:left w:val="nil"/>
              <w:bottom w:val="single" w:color="00000A" w:sz="8" w:space="0"/>
              <w:right w:val="single" w:color="00000A" w:sz="8" w:space="0"/>
            </w:tcBorders>
            <w:tcMar>
              <w:top w:w="0" w:type="dxa"/>
              <w:left w:w="0" w:type="dxa"/>
              <w:bottom w:w="0" w:type="dxa"/>
              <w:right w:w="115" w:type="dxa"/>
            </w:tcMar>
            <w:vAlign w:val="center"/>
          </w:tcPr>
          <w:p w14:paraId="31B36EA3">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实际规模（㎡）</w:t>
            </w:r>
          </w:p>
        </w:tc>
        <w:tc>
          <w:tcPr>
            <w:tcW w:w="458" w:type="dxa"/>
            <w:vMerge w:val="restart"/>
            <w:tcBorders>
              <w:top w:val="nil"/>
              <w:left w:val="nil"/>
              <w:bottom w:val="single" w:color="00000A" w:sz="8" w:space="0"/>
              <w:right w:val="single" w:color="00000A" w:sz="8" w:space="0"/>
            </w:tcBorders>
            <w:tcMar>
              <w:top w:w="0" w:type="dxa"/>
              <w:left w:w="0" w:type="dxa"/>
              <w:bottom w:w="0" w:type="dxa"/>
              <w:right w:w="115" w:type="dxa"/>
            </w:tcMar>
            <w:vAlign w:val="center"/>
          </w:tcPr>
          <w:p w14:paraId="5A1DCE7F">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规模控制率</w:t>
            </w:r>
          </w:p>
        </w:tc>
        <w:tc>
          <w:tcPr>
            <w:tcW w:w="1042" w:type="dxa"/>
            <w:gridSpan w:val="2"/>
            <w:vMerge w:val="restart"/>
            <w:tcBorders>
              <w:top w:val="nil"/>
              <w:left w:val="nil"/>
              <w:bottom w:val="single" w:color="00000A" w:sz="8" w:space="0"/>
              <w:right w:val="single" w:color="00000A" w:sz="8" w:space="0"/>
            </w:tcBorders>
            <w:tcMar>
              <w:top w:w="0" w:type="dxa"/>
              <w:left w:w="0" w:type="dxa"/>
              <w:bottom w:w="0" w:type="dxa"/>
              <w:right w:w="115" w:type="dxa"/>
            </w:tcMar>
            <w:vAlign w:val="center"/>
          </w:tcPr>
          <w:p w14:paraId="300A0202">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预算投资（万元）</w:t>
            </w:r>
          </w:p>
        </w:tc>
        <w:tc>
          <w:tcPr>
            <w:tcW w:w="1074" w:type="dxa"/>
            <w:vMerge w:val="restart"/>
            <w:tcBorders>
              <w:top w:val="nil"/>
              <w:left w:val="nil"/>
              <w:bottom w:val="single" w:color="00000A" w:sz="8" w:space="0"/>
              <w:right w:val="single" w:color="00000A" w:sz="8" w:space="0"/>
            </w:tcBorders>
            <w:tcMar>
              <w:top w:w="0" w:type="dxa"/>
              <w:left w:w="0" w:type="dxa"/>
              <w:bottom w:w="0" w:type="dxa"/>
              <w:right w:w="115" w:type="dxa"/>
            </w:tcMar>
            <w:vAlign w:val="center"/>
          </w:tcPr>
          <w:p w14:paraId="2746898F">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实际投资（万元）</w:t>
            </w:r>
          </w:p>
        </w:tc>
        <w:tc>
          <w:tcPr>
            <w:tcW w:w="1247" w:type="dxa"/>
            <w:vMerge w:val="restart"/>
            <w:tcBorders>
              <w:top w:val="nil"/>
              <w:left w:val="nil"/>
              <w:bottom w:val="single" w:color="00000A" w:sz="8" w:space="0"/>
              <w:right w:val="single" w:color="00000A" w:sz="8" w:space="0"/>
            </w:tcBorders>
            <w:tcMar>
              <w:top w:w="0" w:type="dxa"/>
              <w:left w:w="0" w:type="dxa"/>
              <w:bottom w:w="0" w:type="dxa"/>
              <w:right w:w="115" w:type="dxa"/>
            </w:tcMar>
            <w:vAlign w:val="center"/>
          </w:tcPr>
          <w:p w14:paraId="7AB36772">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投资概算控制率</w:t>
            </w:r>
          </w:p>
        </w:tc>
      </w:tr>
      <w:tr w14:paraId="33B2F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3284" w:type="dxa"/>
            <w:vMerge w:val="continue"/>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0AFBCD1B">
            <w:pPr>
              <w:rPr>
                <w:rFonts w:hint="eastAsia" w:ascii="宋体"/>
                <w:sz w:val="24"/>
                <w:szCs w:val="24"/>
              </w:rPr>
            </w:pPr>
          </w:p>
        </w:tc>
        <w:tc>
          <w:tcPr>
            <w:tcW w:w="1626" w:type="dxa"/>
            <w:vMerge w:val="continue"/>
            <w:tcBorders>
              <w:top w:val="nil"/>
              <w:left w:val="nil"/>
              <w:bottom w:val="single" w:color="00000A" w:sz="8" w:space="0"/>
              <w:right w:val="single" w:color="00000A" w:sz="8" w:space="0"/>
            </w:tcBorders>
            <w:tcMar>
              <w:top w:w="0" w:type="dxa"/>
              <w:left w:w="0" w:type="dxa"/>
              <w:bottom w:w="0" w:type="dxa"/>
              <w:right w:w="115" w:type="dxa"/>
            </w:tcMar>
            <w:vAlign w:val="center"/>
          </w:tcPr>
          <w:p w14:paraId="061CCBB1">
            <w:pPr>
              <w:rPr>
                <w:rFonts w:hint="eastAsia" w:ascii="宋体"/>
                <w:sz w:val="24"/>
                <w:szCs w:val="24"/>
              </w:rPr>
            </w:pPr>
          </w:p>
        </w:tc>
        <w:tc>
          <w:tcPr>
            <w:tcW w:w="1169" w:type="dxa"/>
            <w:gridSpan w:val="2"/>
            <w:vMerge w:val="continue"/>
            <w:tcBorders>
              <w:top w:val="nil"/>
              <w:left w:val="nil"/>
              <w:bottom w:val="single" w:color="00000A" w:sz="8" w:space="0"/>
              <w:right w:val="single" w:color="00000A" w:sz="8" w:space="0"/>
            </w:tcBorders>
            <w:tcMar>
              <w:top w:w="0" w:type="dxa"/>
              <w:left w:w="0" w:type="dxa"/>
              <w:bottom w:w="0" w:type="dxa"/>
              <w:right w:w="115" w:type="dxa"/>
            </w:tcMar>
            <w:vAlign w:val="center"/>
          </w:tcPr>
          <w:p w14:paraId="618D513B">
            <w:pPr>
              <w:rPr>
                <w:rFonts w:hint="eastAsia" w:ascii="宋体"/>
                <w:sz w:val="24"/>
                <w:szCs w:val="24"/>
              </w:rPr>
            </w:pPr>
          </w:p>
        </w:tc>
        <w:tc>
          <w:tcPr>
            <w:tcW w:w="458" w:type="dxa"/>
            <w:vMerge w:val="continue"/>
            <w:tcBorders>
              <w:top w:val="nil"/>
              <w:left w:val="nil"/>
              <w:bottom w:val="single" w:color="00000A" w:sz="8" w:space="0"/>
              <w:right w:val="single" w:color="00000A" w:sz="8" w:space="0"/>
            </w:tcBorders>
            <w:tcMar>
              <w:top w:w="0" w:type="dxa"/>
              <w:left w:w="0" w:type="dxa"/>
              <w:bottom w:w="0" w:type="dxa"/>
              <w:right w:w="115" w:type="dxa"/>
            </w:tcMar>
            <w:vAlign w:val="center"/>
          </w:tcPr>
          <w:p w14:paraId="31DE585A">
            <w:pPr>
              <w:rPr>
                <w:rFonts w:hint="eastAsia" w:ascii="宋体"/>
                <w:sz w:val="24"/>
                <w:szCs w:val="24"/>
              </w:rPr>
            </w:pPr>
          </w:p>
        </w:tc>
        <w:tc>
          <w:tcPr>
            <w:tcW w:w="1042" w:type="dxa"/>
            <w:gridSpan w:val="2"/>
            <w:vMerge w:val="continue"/>
            <w:tcBorders>
              <w:top w:val="nil"/>
              <w:left w:val="nil"/>
              <w:bottom w:val="single" w:color="00000A" w:sz="8" w:space="0"/>
              <w:right w:val="single" w:color="00000A" w:sz="8" w:space="0"/>
            </w:tcBorders>
            <w:tcMar>
              <w:top w:w="0" w:type="dxa"/>
              <w:left w:w="0" w:type="dxa"/>
              <w:bottom w:w="0" w:type="dxa"/>
              <w:right w:w="115" w:type="dxa"/>
            </w:tcMar>
            <w:vAlign w:val="center"/>
          </w:tcPr>
          <w:p w14:paraId="5DB43414">
            <w:pPr>
              <w:rPr>
                <w:rFonts w:hint="eastAsia" w:ascii="宋体"/>
                <w:sz w:val="24"/>
                <w:szCs w:val="24"/>
              </w:rPr>
            </w:pPr>
          </w:p>
        </w:tc>
        <w:tc>
          <w:tcPr>
            <w:tcW w:w="1074" w:type="dxa"/>
            <w:vMerge w:val="continue"/>
            <w:tcBorders>
              <w:top w:val="nil"/>
              <w:left w:val="nil"/>
              <w:bottom w:val="single" w:color="00000A" w:sz="8" w:space="0"/>
              <w:right w:val="single" w:color="00000A" w:sz="8" w:space="0"/>
            </w:tcBorders>
            <w:tcMar>
              <w:top w:w="0" w:type="dxa"/>
              <w:left w:w="0" w:type="dxa"/>
              <w:bottom w:w="0" w:type="dxa"/>
              <w:right w:w="115" w:type="dxa"/>
            </w:tcMar>
            <w:vAlign w:val="center"/>
          </w:tcPr>
          <w:p w14:paraId="0C2D7404">
            <w:pPr>
              <w:rPr>
                <w:rFonts w:hint="eastAsia" w:ascii="宋体"/>
                <w:sz w:val="24"/>
                <w:szCs w:val="24"/>
              </w:rPr>
            </w:pPr>
          </w:p>
        </w:tc>
        <w:tc>
          <w:tcPr>
            <w:tcW w:w="1247" w:type="dxa"/>
            <w:vMerge w:val="continue"/>
            <w:tcBorders>
              <w:top w:val="nil"/>
              <w:left w:val="nil"/>
              <w:bottom w:val="single" w:color="00000A" w:sz="8" w:space="0"/>
              <w:right w:val="single" w:color="00000A" w:sz="8" w:space="0"/>
            </w:tcBorders>
            <w:tcMar>
              <w:top w:w="0" w:type="dxa"/>
              <w:left w:w="0" w:type="dxa"/>
              <w:bottom w:w="0" w:type="dxa"/>
              <w:right w:w="115" w:type="dxa"/>
            </w:tcMar>
            <w:vAlign w:val="center"/>
          </w:tcPr>
          <w:p w14:paraId="352226E7">
            <w:pPr>
              <w:rPr>
                <w:rFonts w:hint="eastAsia" w:ascii="宋体"/>
                <w:sz w:val="24"/>
                <w:szCs w:val="24"/>
              </w:rPr>
            </w:pPr>
          </w:p>
        </w:tc>
      </w:tr>
      <w:tr w14:paraId="12574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3284" w:type="dxa"/>
            <w:vMerge w:val="continue"/>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1D9E806A">
            <w:pPr>
              <w:rPr>
                <w:rFonts w:hint="eastAsia" w:ascii="宋体"/>
                <w:sz w:val="24"/>
                <w:szCs w:val="24"/>
              </w:rPr>
            </w:pPr>
          </w:p>
        </w:tc>
        <w:tc>
          <w:tcPr>
            <w:tcW w:w="1626" w:type="dxa"/>
            <w:vMerge w:val="continue"/>
            <w:tcBorders>
              <w:top w:val="nil"/>
              <w:left w:val="nil"/>
              <w:bottom w:val="single" w:color="00000A" w:sz="8" w:space="0"/>
              <w:right w:val="single" w:color="00000A" w:sz="8" w:space="0"/>
            </w:tcBorders>
            <w:tcMar>
              <w:top w:w="0" w:type="dxa"/>
              <w:left w:w="0" w:type="dxa"/>
              <w:bottom w:w="0" w:type="dxa"/>
              <w:right w:w="115" w:type="dxa"/>
            </w:tcMar>
            <w:vAlign w:val="center"/>
          </w:tcPr>
          <w:p w14:paraId="4811EB0F">
            <w:pPr>
              <w:rPr>
                <w:rFonts w:hint="eastAsia" w:ascii="宋体"/>
                <w:sz w:val="24"/>
                <w:szCs w:val="24"/>
              </w:rPr>
            </w:pPr>
          </w:p>
        </w:tc>
        <w:tc>
          <w:tcPr>
            <w:tcW w:w="1169" w:type="dxa"/>
            <w:gridSpan w:val="2"/>
            <w:vMerge w:val="continue"/>
            <w:tcBorders>
              <w:top w:val="nil"/>
              <w:left w:val="nil"/>
              <w:bottom w:val="single" w:color="00000A" w:sz="8" w:space="0"/>
              <w:right w:val="single" w:color="00000A" w:sz="8" w:space="0"/>
            </w:tcBorders>
            <w:tcMar>
              <w:top w:w="0" w:type="dxa"/>
              <w:left w:w="0" w:type="dxa"/>
              <w:bottom w:w="0" w:type="dxa"/>
              <w:right w:w="115" w:type="dxa"/>
            </w:tcMar>
            <w:vAlign w:val="center"/>
          </w:tcPr>
          <w:p w14:paraId="3F84C8F0">
            <w:pPr>
              <w:rPr>
                <w:rFonts w:hint="eastAsia" w:ascii="宋体"/>
                <w:sz w:val="24"/>
                <w:szCs w:val="24"/>
              </w:rPr>
            </w:pPr>
          </w:p>
        </w:tc>
        <w:tc>
          <w:tcPr>
            <w:tcW w:w="458" w:type="dxa"/>
            <w:vMerge w:val="continue"/>
            <w:tcBorders>
              <w:top w:val="nil"/>
              <w:left w:val="nil"/>
              <w:bottom w:val="single" w:color="00000A" w:sz="8" w:space="0"/>
              <w:right w:val="single" w:color="00000A" w:sz="8" w:space="0"/>
            </w:tcBorders>
            <w:tcMar>
              <w:top w:w="0" w:type="dxa"/>
              <w:left w:w="0" w:type="dxa"/>
              <w:bottom w:w="0" w:type="dxa"/>
              <w:right w:w="115" w:type="dxa"/>
            </w:tcMar>
            <w:vAlign w:val="center"/>
          </w:tcPr>
          <w:p w14:paraId="74C2C936">
            <w:pPr>
              <w:rPr>
                <w:rFonts w:hint="eastAsia" w:ascii="宋体"/>
                <w:sz w:val="24"/>
                <w:szCs w:val="24"/>
              </w:rPr>
            </w:pPr>
          </w:p>
        </w:tc>
        <w:tc>
          <w:tcPr>
            <w:tcW w:w="1042" w:type="dxa"/>
            <w:gridSpan w:val="2"/>
            <w:vMerge w:val="continue"/>
            <w:tcBorders>
              <w:top w:val="nil"/>
              <w:left w:val="nil"/>
              <w:bottom w:val="single" w:color="00000A" w:sz="8" w:space="0"/>
              <w:right w:val="single" w:color="00000A" w:sz="8" w:space="0"/>
            </w:tcBorders>
            <w:tcMar>
              <w:top w:w="0" w:type="dxa"/>
              <w:left w:w="0" w:type="dxa"/>
              <w:bottom w:w="0" w:type="dxa"/>
              <w:right w:w="115" w:type="dxa"/>
            </w:tcMar>
            <w:vAlign w:val="center"/>
          </w:tcPr>
          <w:p w14:paraId="326FD6D7">
            <w:pPr>
              <w:rPr>
                <w:rFonts w:hint="eastAsia" w:ascii="宋体"/>
                <w:sz w:val="24"/>
                <w:szCs w:val="24"/>
              </w:rPr>
            </w:pPr>
          </w:p>
        </w:tc>
        <w:tc>
          <w:tcPr>
            <w:tcW w:w="1074" w:type="dxa"/>
            <w:vMerge w:val="continue"/>
            <w:tcBorders>
              <w:top w:val="nil"/>
              <w:left w:val="nil"/>
              <w:bottom w:val="single" w:color="00000A" w:sz="8" w:space="0"/>
              <w:right w:val="single" w:color="00000A" w:sz="8" w:space="0"/>
            </w:tcBorders>
            <w:tcMar>
              <w:top w:w="0" w:type="dxa"/>
              <w:left w:w="0" w:type="dxa"/>
              <w:bottom w:w="0" w:type="dxa"/>
              <w:right w:w="115" w:type="dxa"/>
            </w:tcMar>
            <w:vAlign w:val="center"/>
          </w:tcPr>
          <w:p w14:paraId="41D35599">
            <w:pPr>
              <w:rPr>
                <w:rFonts w:hint="eastAsia" w:ascii="宋体"/>
                <w:sz w:val="24"/>
                <w:szCs w:val="24"/>
              </w:rPr>
            </w:pPr>
          </w:p>
        </w:tc>
        <w:tc>
          <w:tcPr>
            <w:tcW w:w="1247" w:type="dxa"/>
            <w:vMerge w:val="continue"/>
            <w:tcBorders>
              <w:top w:val="nil"/>
              <w:left w:val="nil"/>
              <w:bottom w:val="single" w:color="00000A" w:sz="8" w:space="0"/>
              <w:right w:val="single" w:color="00000A" w:sz="8" w:space="0"/>
            </w:tcBorders>
            <w:tcMar>
              <w:top w:w="0" w:type="dxa"/>
              <w:left w:w="0" w:type="dxa"/>
              <w:bottom w:w="0" w:type="dxa"/>
              <w:right w:w="115" w:type="dxa"/>
            </w:tcMar>
            <w:vAlign w:val="center"/>
          </w:tcPr>
          <w:p w14:paraId="6934B2F2">
            <w:pPr>
              <w:rPr>
                <w:rFonts w:hint="eastAsia" w:ascii="宋体"/>
                <w:sz w:val="24"/>
                <w:szCs w:val="24"/>
              </w:rPr>
            </w:pPr>
          </w:p>
        </w:tc>
      </w:tr>
      <w:tr w14:paraId="12C31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3284" w:type="dxa"/>
            <w:vMerge w:val="continue"/>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6BD9FF68">
            <w:pPr>
              <w:rPr>
                <w:rFonts w:hint="eastAsia" w:ascii="宋体"/>
                <w:sz w:val="24"/>
                <w:szCs w:val="24"/>
              </w:rPr>
            </w:pPr>
          </w:p>
        </w:tc>
        <w:tc>
          <w:tcPr>
            <w:tcW w:w="1626" w:type="dxa"/>
            <w:tcBorders>
              <w:top w:val="nil"/>
              <w:left w:val="nil"/>
              <w:bottom w:val="single" w:color="00000A" w:sz="8" w:space="0"/>
              <w:right w:val="single" w:color="00000A" w:sz="8" w:space="0"/>
            </w:tcBorders>
            <w:tcMar>
              <w:top w:w="0" w:type="dxa"/>
              <w:left w:w="0" w:type="dxa"/>
              <w:bottom w:w="0" w:type="dxa"/>
              <w:right w:w="115" w:type="dxa"/>
            </w:tcMar>
            <w:vAlign w:val="center"/>
          </w:tcPr>
          <w:p w14:paraId="477B2E86">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sz w:val="19"/>
                <w:szCs w:val="19"/>
              </w:rPr>
              <w:t>0</w:t>
            </w:r>
          </w:p>
        </w:tc>
        <w:tc>
          <w:tcPr>
            <w:tcW w:w="1169" w:type="dxa"/>
            <w:gridSpan w:val="2"/>
            <w:tcBorders>
              <w:top w:val="nil"/>
              <w:left w:val="nil"/>
              <w:bottom w:val="single" w:color="00000A" w:sz="8" w:space="0"/>
              <w:right w:val="single" w:color="00000A" w:sz="8" w:space="0"/>
            </w:tcBorders>
            <w:tcMar>
              <w:top w:w="0" w:type="dxa"/>
              <w:left w:w="0" w:type="dxa"/>
              <w:bottom w:w="0" w:type="dxa"/>
              <w:right w:w="115" w:type="dxa"/>
            </w:tcMar>
            <w:vAlign w:val="center"/>
          </w:tcPr>
          <w:p w14:paraId="50910EBD">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sz w:val="19"/>
                <w:szCs w:val="19"/>
              </w:rPr>
              <w:t>0</w:t>
            </w:r>
          </w:p>
        </w:tc>
        <w:tc>
          <w:tcPr>
            <w:tcW w:w="458" w:type="dxa"/>
            <w:tcBorders>
              <w:top w:val="nil"/>
              <w:left w:val="nil"/>
              <w:bottom w:val="single" w:color="00000A" w:sz="8" w:space="0"/>
              <w:right w:val="single" w:color="00000A" w:sz="8" w:space="0"/>
            </w:tcBorders>
            <w:tcMar>
              <w:top w:w="0" w:type="dxa"/>
              <w:left w:w="0" w:type="dxa"/>
              <w:bottom w:w="0" w:type="dxa"/>
              <w:right w:w="115" w:type="dxa"/>
            </w:tcMar>
            <w:vAlign w:val="center"/>
          </w:tcPr>
          <w:p w14:paraId="2860DCE1">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sz w:val="19"/>
                <w:szCs w:val="19"/>
              </w:rPr>
              <w:t>0</w:t>
            </w:r>
          </w:p>
        </w:tc>
        <w:tc>
          <w:tcPr>
            <w:tcW w:w="1042" w:type="dxa"/>
            <w:gridSpan w:val="2"/>
            <w:tcBorders>
              <w:top w:val="nil"/>
              <w:left w:val="nil"/>
              <w:bottom w:val="single" w:color="00000A" w:sz="8" w:space="0"/>
              <w:right w:val="single" w:color="00000A" w:sz="8" w:space="0"/>
            </w:tcBorders>
            <w:tcMar>
              <w:top w:w="0" w:type="dxa"/>
              <w:left w:w="0" w:type="dxa"/>
              <w:bottom w:w="0" w:type="dxa"/>
              <w:right w:w="115" w:type="dxa"/>
            </w:tcMar>
            <w:vAlign w:val="center"/>
          </w:tcPr>
          <w:p w14:paraId="40ABDEE4">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sz w:val="19"/>
                <w:szCs w:val="19"/>
              </w:rPr>
              <w:t>0</w:t>
            </w:r>
          </w:p>
        </w:tc>
        <w:tc>
          <w:tcPr>
            <w:tcW w:w="1074" w:type="dxa"/>
            <w:tcBorders>
              <w:top w:val="nil"/>
              <w:left w:val="nil"/>
              <w:bottom w:val="single" w:color="00000A" w:sz="8" w:space="0"/>
              <w:right w:val="single" w:color="00000A" w:sz="8" w:space="0"/>
            </w:tcBorders>
            <w:tcMar>
              <w:top w:w="0" w:type="dxa"/>
              <w:left w:w="0" w:type="dxa"/>
              <w:bottom w:w="0" w:type="dxa"/>
              <w:right w:w="115" w:type="dxa"/>
            </w:tcMar>
            <w:vAlign w:val="center"/>
          </w:tcPr>
          <w:p w14:paraId="5054119F">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sz w:val="19"/>
                <w:szCs w:val="19"/>
              </w:rPr>
              <w:t>0</w:t>
            </w:r>
          </w:p>
        </w:tc>
        <w:tc>
          <w:tcPr>
            <w:tcW w:w="1247" w:type="dxa"/>
            <w:tcBorders>
              <w:top w:val="nil"/>
              <w:left w:val="nil"/>
              <w:bottom w:val="single" w:color="00000A" w:sz="8" w:space="0"/>
              <w:right w:val="single" w:color="00000A" w:sz="8" w:space="0"/>
            </w:tcBorders>
            <w:tcMar>
              <w:top w:w="0" w:type="dxa"/>
              <w:left w:w="0" w:type="dxa"/>
              <w:bottom w:w="0" w:type="dxa"/>
              <w:right w:w="115" w:type="dxa"/>
            </w:tcMar>
            <w:vAlign w:val="center"/>
          </w:tcPr>
          <w:p w14:paraId="4C59C4D6">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sz w:val="19"/>
                <w:szCs w:val="19"/>
              </w:rPr>
              <w:t>0</w:t>
            </w:r>
          </w:p>
        </w:tc>
      </w:tr>
      <w:tr w14:paraId="0BA3B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3284" w:type="dxa"/>
            <w:vMerge w:val="restart"/>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0300BFCE">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仿宋_GB2312" w:eastAsia="仿宋_GB2312" w:cs="仿宋_GB2312"/>
                <w:sz w:val="24"/>
                <w:szCs w:val="24"/>
              </w:rPr>
              <w:t>厉行节约保障措施</w:t>
            </w:r>
          </w:p>
        </w:tc>
        <w:tc>
          <w:tcPr>
            <w:tcW w:w="6616" w:type="dxa"/>
            <w:gridSpan w:val="8"/>
            <w:vMerge w:val="restart"/>
            <w:tcBorders>
              <w:top w:val="nil"/>
              <w:left w:val="nil"/>
              <w:bottom w:val="single" w:color="00000A" w:sz="8" w:space="0"/>
              <w:right w:val="single" w:color="00000A" w:sz="8" w:space="0"/>
            </w:tcBorders>
            <w:tcMar>
              <w:top w:w="0" w:type="dxa"/>
              <w:left w:w="0" w:type="dxa"/>
              <w:bottom w:w="0" w:type="dxa"/>
              <w:right w:w="115" w:type="dxa"/>
            </w:tcMar>
            <w:vAlign w:val="center"/>
          </w:tcPr>
          <w:p w14:paraId="59749BCD">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rPr>
                <w:sz w:val="19"/>
                <w:szCs w:val="19"/>
              </w:rPr>
            </w:pPr>
            <w:r>
              <w:rPr>
                <w:rFonts w:hint="eastAsia" w:ascii="宋体" w:hAnsi="宋体" w:eastAsia="宋体" w:cs="宋体"/>
                <w:sz w:val="28"/>
                <w:szCs w:val="28"/>
              </w:rPr>
              <w:t>根据单位工作制度汇编</w:t>
            </w:r>
          </w:p>
        </w:tc>
      </w:tr>
      <w:tr w14:paraId="701D8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3284" w:type="dxa"/>
            <w:vMerge w:val="continue"/>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1D3ED0CB">
            <w:pPr>
              <w:rPr>
                <w:rFonts w:hint="eastAsia" w:ascii="宋体"/>
                <w:sz w:val="24"/>
                <w:szCs w:val="24"/>
              </w:rPr>
            </w:pPr>
          </w:p>
        </w:tc>
        <w:tc>
          <w:tcPr>
            <w:tcW w:w="6616" w:type="dxa"/>
            <w:gridSpan w:val="8"/>
            <w:vMerge w:val="continue"/>
            <w:tcBorders>
              <w:top w:val="nil"/>
              <w:left w:val="nil"/>
              <w:bottom w:val="single" w:color="00000A" w:sz="8" w:space="0"/>
              <w:right w:val="single" w:color="00000A" w:sz="8" w:space="0"/>
            </w:tcBorders>
            <w:tcMar>
              <w:top w:w="0" w:type="dxa"/>
              <w:left w:w="0" w:type="dxa"/>
              <w:bottom w:w="0" w:type="dxa"/>
              <w:right w:w="115" w:type="dxa"/>
            </w:tcMar>
            <w:vAlign w:val="center"/>
          </w:tcPr>
          <w:p w14:paraId="5C61C6F9">
            <w:pPr>
              <w:rPr>
                <w:rFonts w:hint="eastAsia" w:ascii="宋体"/>
                <w:sz w:val="24"/>
                <w:szCs w:val="24"/>
              </w:rPr>
            </w:pPr>
          </w:p>
        </w:tc>
      </w:tr>
      <w:tr w14:paraId="2B7CB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3284" w:type="dxa"/>
            <w:vMerge w:val="restart"/>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6B116E3F">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Style w:val="5"/>
                <w:rFonts w:hint="default" w:ascii="仿宋_GB2312" w:eastAsia="仿宋_GB2312" w:cs="仿宋_GB2312"/>
                <w:sz w:val="24"/>
                <w:szCs w:val="24"/>
              </w:rPr>
              <w:t>部门概况</w:t>
            </w:r>
          </w:p>
        </w:tc>
        <w:tc>
          <w:tcPr>
            <w:tcW w:w="6616" w:type="dxa"/>
            <w:gridSpan w:val="8"/>
            <w:vMerge w:val="restart"/>
            <w:tcBorders>
              <w:top w:val="nil"/>
              <w:left w:val="nil"/>
              <w:bottom w:val="single" w:color="00000A" w:sz="8" w:space="0"/>
              <w:right w:val="single" w:color="00000A" w:sz="8" w:space="0"/>
            </w:tcBorders>
            <w:tcMar>
              <w:top w:w="0" w:type="dxa"/>
              <w:left w:w="0" w:type="dxa"/>
              <w:bottom w:w="0" w:type="dxa"/>
              <w:right w:w="115" w:type="dxa"/>
            </w:tcMar>
            <w:vAlign w:val="top"/>
          </w:tcPr>
          <w:p w14:paraId="65617C7A">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rPr>
                <w:sz w:val="19"/>
                <w:szCs w:val="19"/>
              </w:rPr>
            </w:pPr>
            <w:r>
              <w:rPr>
                <w:sz w:val="28"/>
                <w:szCs w:val="28"/>
              </w:rPr>
              <w:t>1</w:t>
            </w:r>
            <w:r>
              <w:rPr>
                <w:rFonts w:hint="eastAsia" w:ascii="宋体" w:hAnsi="宋体" w:eastAsia="宋体" w:cs="宋体"/>
                <w:sz w:val="28"/>
                <w:szCs w:val="28"/>
              </w:rPr>
              <w:t>、（一）、部门基本情况：市委老干部局机关行政编制数</w:t>
            </w:r>
            <w:r>
              <w:rPr>
                <w:sz w:val="28"/>
                <w:szCs w:val="28"/>
              </w:rPr>
              <w:t>29</w:t>
            </w:r>
            <w:r>
              <w:rPr>
                <w:rFonts w:hint="eastAsia" w:ascii="宋体" w:hAnsi="宋体" w:eastAsia="宋体" w:cs="宋体"/>
                <w:sz w:val="28"/>
                <w:szCs w:val="28"/>
              </w:rPr>
              <w:t>个，机关工勤人员编制数</w:t>
            </w:r>
            <w:r>
              <w:rPr>
                <w:sz w:val="28"/>
                <w:szCs w:val="28"/>
              </w:rPr>
              <w:t>2</w:t>
            </w:r>
            <w:r>
              <w:rPr>
                <w:rFonts w:hint="eastAsia" w:ascii="宋体" w:hAnsi="宋体" w:eastAsia="宋体" w:cs="宋体"/>
                <w:sz w:val="28"/>
                <w:szCs w:val="28"/>
              </w:rPr>
              <w:t>个，内设办公室、生活待遇处、组织宣教处、关心下一代工作委员会、人事处（机关党委合署办公）、老干部教育处</w:t>
            </w:r>
            <w:r>
              <w:rPr>
                <w:sz w:val="28"/>
                <w:szCs w:val="28"/>
              </w:rPr>
              <w:t>7</w:t>
            </w:r>
            <w:r>
              <w:rPr>
                <w:rFonts w:hint="eastAsia" w:ascii="宋体" w:hAnsi="宋体" w:eastAsia="宋体" w:cs="宋体"/>
                <w:sz w:val="28"/>
                <w:szCs w:val="28"/>
              </w:rPr>
              <w:t>个处（室）。下属二级单位</w:t>
            </w:r>
            <w:r>
              <w:rPr>
                <w:sz w:val="28"/>
                <w:szCs w:val="28"/>
              </w:rPr>
              <w:t>3</w:t>
            </w:r>
            <w:r>
              <w:rPr>
                <w:rFonts w:hint="eastAsia" w:ascii="宋体" w:hAnsi="宋体" w:eastAsia="宋体" w:cs="宋体"/>
                <w:sz w:val="28"/>
                <w:szCs w:val="28"/>
              </w:rPr>
              <w:t>个。其中参公事业单位</w:t>
            </w:r>
            <w:r>
              <w:rPr>
                <w:sz w:val="28"/>
                <w:szCs w:val="28"/>
              </w:rPr>
              <w:t>2</w:t>
            </w:r>
            <w:r>
              <w:rPr>
                <w:rFonts w:hint="eastAsia" w:ascii="宋体" w:hAnsi="宋体" w:eastAsia="宋体" w:cs="宋体"/>
                <w:sz w:val="28"/>
                <w:szCs w:val="28"/>
              </w:rPr>
              <w:t>个，分别是市老干活动中心，编制数</w:t>
            </w:r>
            <w:r>
              <w:rPr>
                <w:sz w:val="28"/>
                <w:szCs w:val="28"/>
              </w:rPr>
              <w:t>17</w:t>
            </w:r>
            <w:r>
              <w:rPr>
                <w:rFonts w:hint="eastAsia" w:ascii="宋体" w:hAnsi="宋体" w:eastAsia="宋体" w:cs="宋体"/>
                <w:sz w:val="28"/>
                <w:szCs w:val="28"/>
              </w:rPr>
              <w:t>个；市老干部休养所，编制数</w:t>
            </w:r>
            <w:r>
              <w:rPr>
                <w:sz w:val="28"/>
                <w:szCs w:val="28"/>
              </w:rPr>
              <w:t>27</w:t>
            </w:r>
            <w:r>
              <w:rPr>
                <w:rFonts w:hint="eastAsia" w:ascii="宋体" w:hAnsi="宋体" w:eastAsia="宋体" w:cs="宋体"/>
                <w:sz w:val="28"/>
                <w:szCs w:val="28"/>
              </w:rPr>
              <w:t>个；全额拨款事业单位</w:t>
            </w:r>
            <w:r>
              <w:rPr>
                <w:sz w:val="28"/>
                <w:szCs w:val="28"/>
              </w:rPr>
              <w:t>1</w:t>
            </w:r>
            <w:r>
              <w:rPr>
                <w:rFonts w:hint="eastAsia" w:ascii="宋体" w:hAnsi="宋体" w:eastAsia="宋体" w:cs="宋体"/>
                <w:sz w:val="28"/>
                <w:szCs w:val="28"/>
              </w:rPr>
              <w:t>个，为市老干部大学，编制数</w:t>
            </w:r>
            <w:r>
              <w:rPr>
                <w:sz w:val="28"/>
                <w:szCs w:val="28"/>
              </w:rPr>
              <w:t>5</w:t>
            </w:r>
            <w:r>
              <w:rPr>
                <w:rFonts w:hint="eastAsia" w:ascii="宋体" w:hAnsi="宋体" w:eastAsia="宋体" w:cs="宋体"/>
                <w:sz w:val="28"/>
                <w:szCs w:val="28"/>
              </w:rPr>
              <w:t>个。 （二）部门整体支出</w:t>
            </w:r>
            <w:r>
              <w:rPr>
                <w:sz w:val="28"/>
                <w:szCs w:val="28"/>
              </w:rPr>
              <w:t>1793.72</w:t>
            </w:r>
            <w:r>
              <w:rPr>
                <w:rFonts w:hint="eastAsia" w:ascii="宋体" w:hAnsi="宋体" w:eastAsia="宋体" w:cs="宋体"/>
                <w:sz w:val="28"/>
                <w:szCs w:val="28"/>
              </w:rPr>
              <w:t>万元，其中：基本支出</w:t>
            </w:r>
            <w:r>
              <w:rPr>
                <w:sz w:val="28"/>
                <w:szCs w:val="28"/>
              </w:rPr>
              <w:t>1099.35</w:t>
            </w:r>
            <w:r>
              <w:rPr>
                <w:rFonts w:hint="eastAsia" w:ascii="宋体" w:hAnsi="宋体" w:eastAsia="宋体" w:cs="宋体"/>
                <w:sz w:val="28"/>
                <w:szCs w:val="28"/>
              </w:rPr>
              <w:t>万元、项目支出</w:t>
            </w:r>
            <w:r>
              <w:rPr>
                <w:sz w:val="28"/>
                <w:szCs w:val="28"/>
              </w:rPr>
              <w:t>694.37</w:t>
            </w:r>
            <w:r>
              <w:rPr>
                <w:rFonts w:hint="eastAsia" w:ascii="宋体" w:hAnsi="宋体" w:eastAsia="宋体" w:cs="宋体"/>
                <w:sz w:val="28"/>
                <w:szCs w:val="28"/>
              </w:rPr>
              <w:t>万元。使用方向和主要内容、涉及 范围如下 （</w:t>
            </w:r>
            <w:r>
              <w:rPr>
                <w:sz w:val="28"/>
                <w:szCs w:val="28"/>
              </w:rPr>
              <w:t>1</w:t>
            </w:r>
            <w:r>
              <w:rPr>
                <w:rFonts w:hint="eastAsia" w:ascii="宋体" w:hAnsi="宋体" w:eastAsia="宋体" w:cs="宋体"/>
                <w:sz w:val="28"/>
                <w:szCs w:val="28"/>
              </w:rPr>
              <w:t>）贯彻执行党中央、国务院、省委、省人民政府关于老干部工作的方针、政策、法规和市委、市人民政府的有关规定，认真做好全市离休干部和副厅级以上退休干部工作的督查、指导和协调，督促老干部政治待遇和生活待遇的落实，组织指导老干部开展活动和发挥作用。 （</w:t>
            </w:r>
            <w:r>
              <w:rPr>
                <w:sz w:val="28"/>
                <w:szCs w:val="28"/>
              </w:rPr>
              <w:t>2</w:t>
            </w:r>
            <w:r>
              <w:rPr>
                <w:rFonts w:hint="eastAsia" w:ascii="宋体" w:hAnsi="宋体" w:eastAsia="宋体" w:cs="宋体"/>
                <w:sz w:val="28"/>
                <w:szCs w:val="28"/>
              </w:rPr>
              <w:t>）加强调查研究，针对老干部工作中的新情况、新问题，及时提出建设性意见，为市委、市政府制定有关政策提供依据。 （</w:t>
            </w:r>
            <w:r>
              <w:rPr>
                <w:sz w:val="28"/>
                <w:szCs w:val="28"/>
              </w:rPr>
              <w:t>3</w:t>
            </w:r>
            <w:r>
              <w:rPr>
                <w:rFonts w:hint="eastAsia" w:ascii="宋体" w:hAnsi="宋体" w:eastAsia="宋体" w:cs="宋体"/>
                <w:sz w:val="28"/>
                <w:szCs w:val="28"/>
              </w:rPr>
              <w:t>）指导、督查离退休干部的党组织建设，开展老干部思想政治工作，加强老干部的学习教育。 （</w:t>
            </w:r>
            <w:r>
              <w:rPr>
                <w:sz w:val="28"/>
                <w:szCs w:val="28"/>
              </w:rPr>
              <w:t>4</w:t>
            </w:r>
            <w:r>
              <w:rPr>
                <w:rFonts w:hint="eastAsia" w:ascii="宋体" w:hAnsi="宋体" w:eastAsia="宋体" w:cs="宋体"/>
                <w:sz w:val="28"/>
                <w:szCs w:val="28"/>
              </w:rPr>
              <w:t>）负责老干部和老干部工作的宣传，开展尊老、敬老、爱老活动，依法维护老干部的合法权益。 （</w:t>
            </w:r>
            <w:r>
              <w:rPr>
                <w:sz w:val="28"/>
                <w:szCs w:val="28"/>
              </w:rPr>
              <w:t>5</w:t>
            </w:r>
            <w:r>
              <w:rPr>
                <w:rFonts w:hint="eastAsia" w:ascii="宋体" w:hAnsi="宋体" w:eastAsia="宋体" w:cs="宋体"/>
                <w:sz w:val="28"/>
                <w:szCs w:val="28"/>
              </w:rPr>
              <w:t>）指导协调老干部大学及老年教育工作。 （</w:t>
            </w:r>
            <w:r>
              <w:rPr>
                <w:sz w:val="28"/>
                <w:szCs w:val="28"/>
              </w:rPr>
              <w:t>6</w:t>
            </w:r>
            <w:r>
              <w:rPr>
                <w:rFonts w:hint="eastAsia" w:ascii="宋体" w:hAnsi="宋体" w:eastAsia="宋体" w:cs="宋体"/>
                <w:sz w:val="28"/>
                <w:szCs w:val="28"/>
              </w:rPr>
              <w:t>）按照有关规定，做好来长老干部的接待服务工作。 （</w:t>
            </w:r>
            <w:r>
              <w:rPr>
                <w:sz w:val="28"/>
                <w:szCs w:val="28"/>
              </w:rPr>
              <w:t>7</w:t>
            </w:r>
            <w:r>
              <w:rPr>
                <w:rFonts w:hint="eastAsia" w:ascii="宋体" w:hAnsi="宋体" w:eastAsia="宋体" w:cs="宋体"/>
                <w:sz w:val="28"/>
                <w:szCs w:val="28"/>
              </w:rPr>
              <w:t>）负责接待老干部的来访来信，对老干部反映的问题进行检查、协调和处理。 （</w:t>
            </w:r>
            <w:r>
              <w:rPr>
                <w:sz w:val="28"/>
                <w:szCs w:val="28"/>
              </w:rPr>
              <w:t>8</w:t>
            </w:r>
            <w:r>
              <w:rPr>
                <w:rFonts w:hint="eastAsia" w:ascii="宋体" w:hAnsi="宋体" w:eastAsia="宋体" w:cs="宋体"/>
                <w:sz w:val="28"/>
                <w:szCs w:val="28"/>
              </w:rPr>
              <w:t>）指导全市老干部工作部门的自身建设工作。 （</w:t>
            </w:r>
            <w:r>
              <w:rPr>
                <w:sz w:val="28"/>
                <w:szCs w:val="28"/>
              </w:rPr>
              <w:t>9</w:t>
            </w:r>
            <w:r>
              <w:rPr>
                <w:rFonts w:hint="eastAsia" w:ascii="宋体" w:hAnsi="宋体" w:eastAsia="宋体" w:cs="宋体"/>
                <w:sz w:val="28"/>
                <w:szCs w:val="28"/>
              </w:rPr>
              <w:t>）承担全市老干部工作领导小组的日常工作。 （</w:t>
            </w:r>
            <w:r>
              <w:rPr>
                <w:sz w:val="28"/>
                <w:szCs w:val="28"/>
              </w:rPr>
              <w:t>10</w:t>
            </w:r>
            <w:r>
              <w:rPr>
                <w:rFonts w:hint="eastAsia" w:ascii="宋体" w:hAnsi="宋体" w:eastAsia="宋体" w:cs="宋体"/>
                <w:sz w:val="28"/>
                <w:szCs w:val="28"/>
              </w:rPr>
              <w:t>）承担关心下一代工作委员会的日常工作。 （</w:t>
            </w:r>
            <w:r>
              <w:rPr>
                <w:sz w:val="28"/>
                <w:szCs w:val="28"/>
              </w:rPr>
              <w:t>11</w:t>
            </w:r>
            <w:r>
              <w:rPr>
                <w:rFonts w:hint="eastAsia" w:ascii="宋体" w:hAnsi="宋体" w:eastAsia="宋体" w:cs="宋体"/>
                <w:sz w:val="28"/>
                <w:szCs w:val="28"/>
              </w:rPr>
              <w:t>）负责对所属事业单位的国有资产和财务进行管理和监督，充分发挥各种场地和设施的作用，发展老干部事业。 （</w:t>
            </w:r>
            <w:r>
              <w:rPr>
                <w:sz w:val="28"/>
                <w:szCs w:val="28"/>
              </w:rPr>
              <w:t>12</w:t>
            </w:r>
            <w:r>
              <w:rPr>
                <w:rFonts w:hint="eastAsia" w:ascii="宋体" w:hAnsi="宋体" w:eastAsia="宋体" w:cs="宋体"/>
                <w:sz w:val="28"/>
                <w:szCs w:val="28"/>
              </w:rPr>
              <w:t>）承办市委、市委组织部交办的其他事项。 机构设置 </w:t>
            </w:r>
            <w:r>
              <w:rPr>
                <w:sz w:val="28"/>
                <w:szCs w:val="28"/>
              </w:rPr>
              <w:t>2019</w:t>
            </w:r>
            <w:r>
              <w:rPr>
                <w:rFonts w:hint="eastAsia" w:ascii="宋体" w:hAnsi="宋体" w:eastAsia="宋体" w:cs="宋体"/>
                <w:sz w:val="28"/>
                <w:szCs w:val="28"/>
              </w:rPr>
              <w:t>年工作计划</w:t>
            </w:r>
            <w:r>
              <w:rPr>
                <w:sz w:val="28"/>
                <w:szCs w:val="28"/>
              </w:rPr>
              <w:t>2019</w:t>
            </w:r>
            <w:r>
              <w:rPr>
                <w:rFonts w:hint="eastAsia" w:ascii="宋体" w:hAnsi="宋体" w:eastAsia="宋体" w:cs="宋体"/>
                <w:sz w:val="28"/>
                <w:szCs w:val="28"/>
              </w:rPr>
              <w:t>年全市老干部工作要点</w:t>
            </w:r>
            <w:r>
              <w:rPr>
                <w:sz w:val="28"/>
                <w:szCs w:val="28"/>
              </w:rPr>
              <w:t>2019</w:t>
            </w:r>
            <w:r>
              <w:rPr>
                <w:rFonts w:hint="eastAsia" w:ascii="宋体" w:hAnsi="宋体" w:eastAsia="宋体" w:cs="宋体"/>
                <w:sz w:val="28"/>
                <w:szCs w:val="28"/>
              </w:rPr>
              <w:t>年是新中国成立</w:t>
            </w:r>
            <w:r>
              <w:rPr>
                <w:sz w:val="28"/>
                <w:szCs w:val="28"/>
              </w:rPr>
              <w:t>70</w:t>
            </w:r>
            <w:r>
              <w:rPr>
                <w:rFonts w:hint="eastAsia" w:ascii="宋体" w:hAnsi="宋体" w:eastAsia="宋体" w:cs="宋体"/>
                <w:sz w:val="28"/>
                <w:szCs w:val="28"/>
              </w:rPr>
              <w:t>周年，也是全面建成小康社会的关键之年。全市老干部工作的总体思路是：以习近平新时代中国特色社会主义思想为指导，深入贯彻党的十九大和十九届二中、三中全会精神，认真贯彻全国、全省老干部局长会议精神，不忘初心、牢记使命，树牢“四个意识”、坚定“四个自信”、坚决做到“两个维护”，全面加强离退休干部党的建设，充分发挥老同志优势和作用，不断提升服务管理水平，切实加强自身建设，推动老干部工作高质量发展，以优异成绩向新中国成立</w:t>
            </w:r>
            <w:r>
              <w:rPr>
                <w:sz w:val="28"/>
                <w:szCs w:val="28"/>
              </w:rPr>
              <w:t>70</w:t>
            </w:r>
            <w:r>
              <w:rPr>
                <w:rFonts w:hint="eastAsia" w:ascii="宋体" w:hAnsi="宋体" w:eastAsia="宋体" w:cs="宋体"/>
                <w:sz w:val="28"/>
                <w:szCs w:val="28"/>
              </w:rPr>
              <w:t>周年献礼。 一、突出以政治建设为统领，全面加强离退休干部党的建设</w:t>
            </w:r>
            <w:r>
              <w:rPr>
                <w:sz w:val="28"/>
                <w:szCs w:val="28"/>
              </w:rPr>
              <w:t>1.</w:t>
            </w:r>
            <w:r>
              <w:rPr>
                <w:rFonts w:hint="eastAsia" w:ascii="宋体" w:hAnsi="宋体" w:eastAsia="宋体" w:cs="宋体"/>
                <w:sz w:val="28"/>
                <w:szCs w:val="28"/>
              </w:rPr>
              <w:t>加强政治建设。把旗帜鲜明讲政治贯穿老干部工作全过程、各方面，引导广大离退休干部严明党的政治纪律和政治规矩，严格执行关于新形势下党内政治生活的若干准则，不断树牢“四个意识”、坚定“四个自信”，坚决维护习近平总书记核心地位、坚决维护党中央权威和集中统一领导，自觉在思想上政治上行动上同以习近平同志为核心的党中央保持高度一致。</w:t>
            </w:r>
            <w:r>
              <w:rPr>
                <w:sz w:val="28"/>
                <w:szCs w:val="28"/>
              </w:rPr>
              <w:t>2.</w:t>
            </w:r>
            <w:r>
              <w:rPr>
                <w:rFonts w:hint="eastAsia" w:ascii="宋体" w:hAnsi="宋体" w:eastAsia="宋体" w:cs="宋体"/>
                <w:sz w:val="28"/>
                <w:szCs w:val="28"/>
              </w:rPr>
              <w:t>加强思想建设。坚持用习近平新时代中国特色社会主义思想武装头脑，以老干部党校、老干部大学、老干部活动中心为主阵地，通过报告会、培训班、“互联网</w:t>
            </w:r>
            <w:r>
              <w:rPr>
                <w:sz w:val="28"/>
                <w:szCs w:val="28"/>
              </w:rPr>
              <w:t>+”</w:t>
            </w:r>
            <w:r>
              <w:rPr>
                <w:rFonts w:hint="eastAsia" w:ascii="宋体" w:hAnsi="宋体" w:eastAsia="宋体" w:cs="宋体"/>
                <w:sz w:val="28"/>
                <w:szCs w:val="28"/>
              </w:rPr>
              <w:t>等方式，依托银龄</w:t>
            </w:r>
            <w:r>
              <w:rPr>
                <w:sz w:val="28"/>
                <w:szCs w:val="28"/>
              </w:rPr>
              <w:t>e</w:t>
            </w:r>
            <w:r>
              <w:rPr>
                <w:rFonts w:hint="eastAsia" w:ascii="宋体" w:hAnsi="宋体" w:eastAsia="宋体" w:cs="宋体"/>
                <w:sz w:val="28"/>
                <w:szCs w:val="28"/>
              </w:rPr>
              <w:t>支部、老年网络课堂、涉老报刊、老干部工作部门网站、微信公众号等平台，组织引导老干部深入学习、常悟常进，做习近平新时代中国特色社会主义思想的坚定信仰者、忠实实践者。精心办好“银发先锋大课堂”，举办全市老干部形势报告会。根据离退休干部特点，开展“不忘初心、牢记使命”主题教育。通过组织老同志现身说法、宣传老同志先进事迹、送党课下基层等形式，引导老同志为主题教育贡献力量。</w:t>
            </w:r>
            <w:r>
              <w:rPr>
                <w:sz w:val="28"/>
                <w:szCs w:val="28"/>
              </w:rPr>
              <w:t>3.</w:t>
            </w:r>
            <w:r>
              <w:rPr>
                <w:rFonts w:hint="eastAsia" w:ascii="宋体" w:hAnsi="宋体" w:eastAsia="宋体" w:cs="宋体"/>
                <w:sz w:val="28"/>
                <w:szCs w:val="28"/>
              </w:rPr>
              <w:t>加强党组织建设。不断完善离退休干部工委体系建设，使党的组织体系在离退休干部中覆盖更加有效、作用更加突出。举办离退休干部党建工作能力提升专题培训班。认真贯彻落实《中国共产党支部工作条例（试行）》，深入推进基层离退休干部党组织标准化建设，规范“三会一课”制度，严肃党内政治生活，选树一批基层“五化”支部示范点，召开离退休干部党支部建设现场推进会，推动离退休干部党建更好地融入城市基层党建大格局。对全市离退休干部党支部书记进行全面集中轮训，切实提升支部书记党建工作履职能力。开展寻找“最美老干部”、老同志典型讲初心故事等特色主题党建活动。 二、突出组织引导老同志发挥优势和作用，进一步彰显老干部工作价值</w:t>
            </w:r>
            <w:r>
              <w:rPr>
                <w:sz w:val="28"/>
                <w:szCs w:val="28"/>
              </w:rPr>
              <w:t>4.</w:t>
            </w:r>
            <w:r>
              <w:rPr>
                <w:rFonts w:hint="eastAsia" w:ascii="宋体" w:hAnsi="宋体" w:eastAsia="宋体" w:cs="宋体"/>
                <w:sz w:val="28"/>
                <w:szCs w:val="28"/>
              </w:rPr>
              <w:t>聚焦中心大局。围绕“产业项目建设年、营商环境优化年”，深化“‘五老四教’添新彩，言传身教润长沙”主题实践活动，组织引导广大老干部工作者和老同志向中心聚焦，为大局发力，圆满完成市委、市政府交办的各项工作任务。组织“我看长沙发展新成就”专题调研，引导老同志畅谈发展变化，体验美好生活，凝聚发展力量。开展“不忘初心</w:t>
            </w:r>
            <w:r>
              <w:rPr>
                <w:rFonts w:hint="eastAsia" w:ascii="宋体" w:hAnsi="宋体" w:cs="宋体"/>
                <w:sz w:val="28"/>
                <w:szCs w:val="28"/>
                <w:lang w:eastAsia="zh-CN"/>
              </w:rPr>
              <w:t>、</w:t>
            </w:r>
            <w:r>
              <w:rPr>
                <w:rFonts w:hint="eastAsia" w:ascii="宋体" w:hAnsi="宋体" w:eastAsia="宋体" w:cs="宋体"/>
                <w:sz w:val="28"/>
                <w:szCs w:val="28"/>
              </w:rPr>
              <w:t>牢记使命——百场报告进基层，携手奋进新时代”巡讲活动，推动习近平新时代中国特色社会主义思想在基层落地生根。组织开展老年志愿服务调研，完善老干部志愿者信息库，成立长沙市老干部志愿服务总队，探索建立老干部开展志愿服务的嘉许机制，组织引导全市老干部在主题宣讲、社会治理、垃圾分类、移风易俗等方面开展志愿服务。</w:t>
            </w:r>
            <w:r>
              <w:rPr>
                <w:sz w:val="28"/>
                <w:szCs w:val="28"/>
              </w:rPr>
              <w:t>5.</w:t>
            </w:r>
            <w:r>
              <w:rPr>
                <w:rFonts w:hint="eastAsia" w:ascii="宋体" w:hAnsi="宋体" w:eastAsia="宋体" w:cs="宋体"/>
                <w:sz w:val="28"/>
                <w:szCs w:val="28"/>
              </w:rPr>
              <w:t>注重宣传激励。做好全省离退休干部先进集体、先进个人推荐和全市离退休干部先进集体、先进个人评选推介工作。积极利用各种媒体大力宣传推介离退休干部先进集体和先进个人的典型事迹。深入挖掘长沙“五老”先进典型，打造“银耀星城”展示馆。继续支持“五老志愿服务团队”建设。</w:t>
            </w:r>
            <w:r>
              <w:rPr>
                <w:sz w:val="28"/>
                <w:szCs w:val="28"/>
              </w:rPr>
              <w:t>6.</w:t>
            </w:r>
            <w:r>
              <w:rPr>
                <w:rFonts w:hint="eastAsia" w:ascii="宋体" w:hAnsi="宋体" w:eastAsia="宋体" w:cs="宋体"/>
                <w:sz w:val="28"/>
                <w:szCs w:val="28"/>
              </w:rPr>
              <w:t>大力支持关工委发挥作用。按照党建带关建的思路，为关工委开展工作创造良好条件、提供有力保障。发挥本土红色教育资源优势和“五老”作用，开展好“传承红色基因，争做时代新人”征文、“腾飞中国、辉煌</w:t>
            </w:r>
            <w:r>
              <w:rPr>
                <w:sz w:val="28"/>
                <w:szCs w:val="28"/>
              </w:rPr>
              <w:t>70</w:t>
            </w:r>
            <w:r>
              <w:rPr>
                <w:rFonts w:hint="eastAsia" w:ascii="宋体" w:hAnsi="宋体" w:eastAsia="宋体" w:cs="宋体"/>
                <w:sz w:val="28"/>
                <w:szCs w:val="28"/>
              </w:rPr>
              <w:t>年”宣讲和主题文艺汇演等活动。组织开展关爱困境青少年工作，市本级资助大学贫困新生不少于</w:t>
            </w:r>
            <w:r>
              <w:rPr>
                <w:sz w:val="28"/>
                <w:szCs w:val="28"/>
              </w:rPr>
              <w:t>100</w:t>
            </w:r>
            <w:r>
              <w:rPr>
                <w:rFonts w:hint="eastAsia" w:ascii="宋体" w:hAnsi="宋体" w:eastAsia="宋体" w:cs="宋体"/>
                <w:sz w:val="28"/>
                <w:szCs w:val="28"/>
              </w:rPr>
              <w:t>名。助力“儿童友好型城市”创建，征集创新案例，牵头举办长沙市第六届国际环保“四联漫画”大赛。 三、突出“信息化、精准化、规范化”建设，持续推动服务保障工作提质升级</w:t>
            </w:r>
            <w:r>
              <w:rPr>
                <w:sz w:val="28"/>
                <w:szCs w:val="28"/>
              </w:rPr>
              <w:t>7.</w:t>
            </w:r>
            <w:r>
              <w:rPr>
                <w:rFonts w:hint="eastAsia" w:ascii="宋体" w:hAnsi="宋体" w:eastAsia="宋体" w:cs="宋体"/>
                <w:sz w:val="28"/>
                <w:szCs w:val="28"/>
              </w:rPr>
              <w:t>加大信息化建设力度。积极利用信息化手段开展工作，管好用好“中共长沙市委老干部局”官方网站，“长沙老干部”“长沙市关工委”“长沙市老干部大学”微信公众号等信息化平台，做好“长沙老干部银龄</w:t>
            </w:r>
            <w:r>
              <w:rPr>
                <w:sz w:val="28"/>
                <w:szCs w:val="28"/>
              </w:rPr>
              <w:t>e</w:t>
            </w:r>
            <w:r>
              <w:rPr>
                <w:rFonts w:hint="eastAsia" w:ascii="宋体" w:hAnsi="宋体" w:eastAsia="宋体" w:cs="宋体"/>
                <w:sz w:val="28"/>
                <w:szCs w:val="28"/>
              </w:rPr>
              <w:t>支部”“长沙五老之家”“长沙五老红”等老同志微信群、</w:t>
            </w:r>
            <w:r>
              <w:rPr>
                <w:sz w:val="28"/>
                <w:szCs w:val="28"/>
              </w:rPr>
              <w:t>QQ</w:t>
            </w:r>
            <w:r>
              <w:rPr>
                <w:rFonts w:hint="eastAsia" w:ascii="宋体" w:hAnsi="宋体" w:eastAsia="宋体" w:cs="宋体"/>
                <w:sz w:val="28"/>
                <w:szCs w:val="28"/>
              </w:rPr>
              <w:t>群的监督管理工作，引导老同志讲好中国故事，弘扬中国精神、传播长沙好声音。</w:t>
            </w:r>
            <w:r>
              <w:rPr>
                <w:sz w:val="28"/>
                <w:szCs w:val="28"/>
              </w:rPr>
              <w:t>8.</w:t>
            </w:r>
            <w:r>
              <w:rPr>
                <w:rFonts w:hint="eastAsia" w:ascii="宋体" w:hAnsi="宋体" w:eastAsia="宋体" w:cs="宋体"/>
                <w:sz w:val="28"/>
                <w:szCs w:val="28"/>
              </w:rPr>
              <w:t>提高精准化服务质量。开展“面对面，心连心”走访慰问活动，完善困难帮扶机制，重点对困难行业、困难单位和身患重病、“空巢”独居等有特殊困难的离退休干部及遗孀给予关心照顾。进一步完善离休干部个性化服务机制，为离休干部的日常照料、生活服务、精神慰藉等需求提供精准服务。实施“</w:t>
            </w:r>
            <w:r>
              <w:rPr>
                <w:sz w:val="28"/>
                <w:szCs w:val="28"/>
              </w:rPr>
              <w:t>N</w:t>
            </w:r>
            <w:r>
              <w:rPr>
                <w:rFonts w:hint="eastAsia" w:ascii="宋体" w:hAnsi="宋体" w:eastAsia="宋体" w:cs="宋体"/>
                <w:sz w:val="28"/>
                <w:szCs w:val="28"/>
              </w:rPr>
              <w:t>对</w:t>
            </w:r>
            <w:r>
              <w:rPr>
                <w:sz w:val="28"/>
                <w:szCs w:val="28"/>
              </w:rPr>
              <w:t>1”</w:t>
            </w:r>
            <w:r>
              <w:rPr>
                <w:rFonts w:hint="eastAsia" w:ascii="宋体" w:hAnsi="宋体" w:eastAsia="宋体" w:cs="宋体"/>
                <w:sz w:val="28"/>
                <w:szCs w:val="28"/>
              </w:rPr>
              <w:t>服务机制，为孤寡离休干部日常生活提供个性化服务。做好易地安置离休干部服务管理，协调增加易地安置离休干部定点医院。对老干部反应突出的热点难点问题开展调研，提出行之有效的解决办法。切实做好老干部休养所驻所老干部的服务管理工作。高度重视和做好信访工作。</w:t>
            </w:r>
            <w:r>
              <w:rPr>
                <w:sz w:val="28"/>
                <w:szCs w:val="28"/>
              </w:rPr>
              <w:t>9.</w:t>
            </w:r>
            <w:r>
              <w:rPr>
                <w:rFonts w:hint="eastAsia" w:ascii="宋体" w:hAnsi="宋体" w:eastAsia="宋体" w:cs="宋体"/>
                <w:sz w:val="28"/>
                <w:szCs w:val="28"/>
              </w:rPr>
              <w:t>提高规范化建设水平。按要求完善和落实离退休干部政治待遇和生活待遇，组织享受副市级以上待遇老干部开展参观考察活动，完善离休干部“三个机制”和离退休干部共享改革发展成果长效机制，认真梳理贯彻落实各项文件的项目清单，强化离休干部基础信息数据收集整理，健全制度落实督查监管机制，不折不扣抓好各项政策落实，推进老干部工作更加规范化、制度化、精准化。 四、突出满足老同志精神需求，不断提升文化养老工作水平</w:t>
            </w:r>
            <w:r>
              <w:rPr>
                <w:sz w:val="28"/>
                <w:szCs w:val="28"/>
              </w:rPr>
              <w:t>10.</w:t>
            </w:r>
            <w:r>
              <w:rPr>
                <w:rFonts w:hint="eastAsia" w:ascii="宋体" w:hAnsi="宋体" w:eastAsia="宋体" w:cs="宋体"/>
                <w:sz w:val="28"/>
                <w:szCs w:val="28"/>
              </w:rPr>
              <w:t>大力发展老干部（老年）教育。进一步加强市、区县（市）老干部（老年）大学（党校）自身建设，充分发挥引领示范作用，把老干部（老年）大学（党校）办成老干部的精神家园。认真落实衡华书记批示精神和市长办公会议精神，筹建市老干部大学青少年宫分校，积极推动市老干部大学（党校）增点扩容、科学分流、优化提质，逐步缓解“一座难求”难题。建立全市老年教育师资库，举办基层老干部教育工作培训班。加强教学理论研究，积极争创全国老年教育理论研究基地。适应老年教育需求，加强对基层老干部大学规范化教学的指导力度，进一步提升教育质量。精心办好老年教育网络课堂，探索建立老年教育社区教学点，增加基层教育资源供给。</w:t>
            </w:r>
            <w:r>
              <w:rPr>
                <w:sz w:val="28"/>
                <w:szCs w:val="28"/>
              </w:rPr>
              <w:t>11.</w:t>
            </w:r>
            <w:r>
              <w:rPr>
                <w:rFonts w:hint="eastAsia" w:ascii="宋体" w:hAnsi="宋体" w:eastAsia="宋体" w:cs="宋体"/>
                <w:sz w:val="28"/>
                <w:szCs w:val="28"/>
              </w:rPr>
              <w:t>积极开展丰富多彩涉老活动。进一步提升市老干部活动中心承载功能，加快推进市老干部活动中心图书馆、门球场、食堂等设施改造。探索团队化工作机制，以“华丽转身、精彩乐龄”为主题，依托老干部文化艺术体育公益团队，搭建春季文化交流、夏季风采展示、秋季公益演出、冬季迎春聚福四大特色平台，开展“我们的节日”系列活动。抓好老干部活动中心志愿者服务站建设，组织引导老干部“乐龄”志愿服务队开展常态化活动。指导市老干部书画协会、市老年保健协会等涉老组织开展庆祝中华人民共和国成立</w:t>
            </w:r>
            <w:r>
              <w:rPr>
                <w:sz w:val="28"/>
                <w:szCs w:val="28"/>
              </w:rPr>
              <w:t>70</w:t>
            </w:r>
            <w:r>
              <w:rPr>
                <w:rFonts w:hint="eastAsia" w:ascii="宋体" w:hAnsi="宋体" w:eastAsia="宋体" w:cs="宋体"/>
                <w:sz w:val="28"/>
                <w:szCs w:val="28"/>
              </w:rPr>
              <w:t>周年书画展、书画艺术普及教育、人口老龄化国情教育、积极老龄化和健康老龄化教育、“科学养老，争做阳光老人”等活动，引导老同志把个人价值与社会需求结合起来，在服务发展中丰富晚年生活。 五、突出忠诚担当，切实加强老干部工作部门自身建设</w:t>
            </w:r>
            <w:r>
              <w:rPr>
                <w:sz w:val="28"/>
                <w:szCs w:val="28"/>
              </w:rPr>
              <w:t>12.</w:t>
            </w:r>
            <w:r>
              <w:rPr>
                <w:rFonts w:hint="eastAsia" w:ascii="宋体" w:hAnsi="宋体" w:eastAsia="宋体" w:cs="宋体"/>
                <w:sz w:val="28"/>
                <w:szCs w:val="28"/>
              </w:rPr>
              <w:t>切实提高政治站位。把老干部工作队伍的政治建设摆在首位，深学笃行习近平新时代中国特色社会主义思想，扎实开展“不忘初心、牢记使命”主题教育，落实新时代党的建设总要求，增强“四个意识”，坚定“四个自信”，坚决做到“两个维护”，确保政治上绝对可靠、对党绝对忠诚。认真贯彻落实中央和省、市委决策部署，完成“三大攻坚战”、全面深化改革等年度任务，落实市级专项领导小组部署的各项中心任务和相关要求。</w:t>
            </w:r>
            <w:r>
              <w:rPr>
                <w:sz w:val="28"/>
                <w:szCs w:val="28"/>
              </w:rPr>
              <w:t>13.</w:t>
            </w:r>
            <w:r>
              <w:rPr>
                <w:rFonts w:hint="eastAsia" w:ascii="宋体" w:hAnsi="宋体" w:eastAsia="宋体" w:cs="宋体"/>
                <w:sz w:val="28"/>
                <w:szCs w:val="28"/>
              </w:rPr>
              <w:t>不断提升能力素养。深入学习贯彻习近平总书记关于老干部工作重要论述，开展老干部工作业务大比武活动，通过教育培训、岗位练兵、交流轮岗等多种方式，拓宽干部工作视野，提升干部能力素质。突出养心、养性、养才、养德建设，巩固和提升书香机关创建成果，继续开展“一周回眸”、“书记荐好书”等活动，加强对“学习强国”学习平台的运用。积极创建“示范性五化党支部”、“市文明标兵单位”。</w:t>
            </w:r>
            <w:r>
              <w:rPr>
                <w:sz w:val="28"/>
                <w:szCs w:val="28"/>
              </w:rPr>
              <w:t>14.</w:t>
            </w:r>
            <w:r>
              <w:rPr>
                <w:rFonts w:hint="eastAsia" w:ascii="宋体" w:hAnsi="宋体" w:eastAsia="宋体" w:cs="宋体"/>
                <w:sz w:val="28"/>
                <w:szCs w:val="28"/>
              </w:rPr>
              <w:t>注重锤炼优良作风。按照全面从严治党要求，严格落实管党治党责任。加强领导班子思想政治建设、作风建设和能力建设，着力提高“三重一大”民主决策制度化、科学化水平。大力加强党风廉政建设，切实履行党风廉政建设“两个责任”，营造遵纪守廉的良好氛围。将意识形态责任制融入到老干部工作全过程。严格遵守党内法规，严格执行</w:t>
            </w:r>
            <w:r>
              <w:rPr>
                <w:rFonts w:hint="eastAsia" w:ascii="宋体" w:hAnsi="宋体" w:cs="宋体"/>
                <w:sz w:val="28"/>
                <w:szCs w:val="28"/>
                <w:lang w:eastAsia="zh-CN"/>
              </w:rPr>
              <w:t>中央</w:t>
            </w:r>
            <w:r>
              <w:rPr>
                <w:rFonts w:hint="eastAsia" w:ascii="宋体" w:hAnsi="宋体" w:eastAsia="宋体" w:cs="宋体"/>
                <w:sz w:val="28"/>
                <w:szCs w:val="28"/>
              </w:rPr>
              <w:t>八项规定</w:t>
            </w:r>
            <w:bookmarkStart w:id="0" w:name="_GoBack"/>
            <w:bookmarkEnd w:id="0"/>
            <w:r>
              <w:rPr>
                <w:rFonts w:hint="eastAsia" w:ascii="宋体" w:hAnsi="宋体" w:eastAsia="宋体" w:cs="宋体"/>
                <w:sz w:val="28"/>
                <w:szCs w:val="28"/>
              </w:rPr>
              <w:t>及其实施细则。积极开展廉洁警示教育活动，巩固“严管厚爱做表率，淳厚家风助廉洁”廉洁家访活动成果，提升干部自律意识，筑牢作风建设思想防线。</w:t>
            </w:r>
          </w:p>
          <w:p w14:paraId="2B5958AA">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rPr>
                <w:sz w:val="19"/>
                <w:szCs w:val="19"/>
              </w:rPr>
            </w:pPr>
            <w:r>
              <w:rPr>
                <w:sz w:val="28"/>
                <w:szCs w:val="28"/>
              </w:rPr>
              <w:t>2</w:t>
            </w:r>
            <w:r>
              <w:rPr>
                <w:rFonts w:hint="eastAsia" w:ascii="宋体" w:hAnsi="宋体" w:eastAsia="宋体" w:cs="宋体"/>
                <w:sz w:val="28"/>
                <w:szCs w:val="28"/>
              </w:rPr>
              <w:t>、</w:t>
            </w:r>
            <w:r>
              <w:rPr>
                <w:sz w:val="28"/>
                <w:szCs w:val="28"/>
              </w:rPr>
              <w:t>2019</w:t>
            </w:r>
            <w:r>
              <w:rPr>
                <w:rFonts w:hint="eastAsia" w:ascii="宋体" w:hAnsi="宋体" w:eastAsia="宋体" w:cs="宋体"/>
                <w:sz w:val="28"/>
                <w:szCs w:val="28"/>
              </w:rPr>
              <w:t>年收入实际完成</w:t>
            </w:r>
            <w:r>
              <w:rPr>
                <w:sz w:val="28"/>
                <w:szCs w:val="28"/>
              </w:rPr>
              <w:t>3565</w:t>
            </w:r>
            <w:r>
              <w:rPr>
                <w:rFonts w:hint="eastAsia" w:ascii="宋体" w:hAnsi="宋体" w:eastAsia="宋体" w:cs="宋体"/>
                <w:sz w:val="28"/>
                <w:szCs w:val="28"/>
              </w:rPr>
              <w:t>万元，比上年增长</w:t>
            </w:r>
            <w:r>
              <w:rPr>
                <w:sz w:val="28"/>
                <w:szCs w:val="28"/>
              </w:rPr>
              <w:t>1771.27</w:t>
            </w:r>
            <w:r>
              <w:rPr>
                <w:rFonts w:hint="eastAsia" w:ascii="宋体" w:hAnsi="宋体" w:eastAsia="宋体" w:cs="宋体"/>
                <w:sz w:val="28"/>
                <w:szCs w:val="28"/>
              </w:rPr>
              <w:t>万元，增长</w:t>
            </w:r>
            <w:r>
              <w:rPr>
                <w:sz w:val="28"/>
                <w:szCs w:val="28"/>
              </w:rPr>
              <w:t>98.75%</w:t>
            </w:r>
            <w:r>
              <w:rPr>
                <w:rFonts w:hint="eastAsia" w:ascii="宋体" w:hAnsi="宋体" w:eastAsia="宋体" w:cs="宋体"/>
                <w:sz w:val="28"/>
                <w:szCs w:val="28"/>
              </w:rPr>
              <w:t>。主要原因是：工资基数调整和工资晋级晋档及长沙市老干部活动中心基建工程尾款的清付。其中：一般公共预算财政拨款收入完成</w:t>
            </w:r>
            <w:r>
              <w:rPr>
                <w:sz w:val="28"/>
                <w:szCs w:val="28"/>
              </w:rPr>
              <w:t>3565</w:t>
            </w:r>
            <w:r>
              <w:rPr>
                <w:rFonts w:hint="eastAsia" w:ascii="宋体" w:hAnsi="宋体" w:eastAsia="宋体" w:cs="宋体"/>
                <w:sz w:val="28"/>
                <w:szCs w:val="28"/>
              </w:rPr>
              <w:t>万元，比上年</w:t>
            </w:r>
            <w:r>
              <w:rPr>
                <w:sz w:val="28"/>
                <w:szCs w:val="28"/>
              </w:rPr>
              <w:t>1771.27</w:t>
            </w:r>
            <w:r>
              <w:rPr>
                <w:rFonts w:hint="eastAsia" w:ascii="宋体" w:hAnsi="宋体" w:eastAsia="宋体" w:cs="宋体"/>
                <w:sz w:val="28"/>
                <w:szCs w:val="28"/>
              </w:rPr>
              <w:t>万元，增长增长</w:t>
            </w:r>
            <w:r>
              <w:rPr>
                <w:sz w:val="28"/>
                <w:szCs w:val="28"/>
              </w:rPr>
              <w:t>98.75%</w:t>
            </w:r>
            <w:r>
              <w:rPr>
                <w:rFonts w:hint="eastAsia" w:ascii="宋体" w:hAnsi="宋体" w:eastAsia="宋体" w:cs="宋体"/>
                <w:sz w:val="28"/>
                <w:szCs w:val="28"/>
              </w:rPr>
              <w:t>，变化的主要原因是：工资基数调整和工资晋级晋档及长沙市老干部活动中心基建工程尾款的清付；政府性基金财政拨款收入完成</w:t>
            </w:r>
            <w:r>
              <w:rPr>
                <w:sz w:val="28"/>
                <w:szCs w:val="28"/>
              </w:rPr>
              <w:t>0</w:t>
            </w:r>
            <w:r>
              <w:rPr>
                <w:rFonts w:hint="eastAsia" w:ascii="宋体" w:hAnsi="宋体" w:eastAsia="宋体" w:cs="宋体"/>
                <w:sz w:val="28"/>
                <w:szCs w:val="28"/>
              </w:rPr>
              <w:t>万元，上年政府性基金财政拨款收入完成</w:t>
            </w:r>
            <w:r>
              <w:rPr>
                <w:sz w:val="28"/>
                <w:szCs w:val="28"/>
              </w:rPr>
              <w:t>0</w:t>
            </w:r>
            <w:r>
              <w:rPr>
                <w:rFonts w:hint="eastAsia" w:ascii="宋体" w:hAnsi="宋体" w:eastAsia="宋体" w:cs="宋体"/>
                <w:sz w:val="28"/>
                <w:szCs w:val="28"/>
              </w:rPr>
              <w:t>万元，；上级补助收入完成</w:t>
            </w:r>
            <w:r>
              <w:rPr>
                <w:sz w:val="28"/>
                <w:szCs w:val="28"/>
              </w:rPr>
              <w:t>0</w:t>
            </w:r>
            <w:r>
              <w:rPr>
                <w:rFonts w:hint="eastAsia" w:ascii="宋体" w:hAnsi="宋体" w:eastAsia="宋体" w:cs="宋体"/>
                <w:sz w:val="28"/>
                <w:szCs w:val="28"/>
              </w:rPr>
              <w:t>万元，上年上级补助收入完成</w:t>
            </w:r>
            <w:r>
              <w:rPr>
                <w:sz w:val="28"/>
                <w:szCs w:val="28"/>
              </w:rPr>
              <w:t>0</w:t>
            </w:r>
            <w:r>
              <w:rPr>
                <w:rFonts w:hint="eastAsia" w:ascii="宋体" w:hAnsi="宋体" w:eastAsia="宋体" w:cs="宋体"/>
                <w:sz w:val="28"/>
                <w:szCs w:val="28"/>
              </w:rPr>
              <w:t>万元；事业收入完成</w:t>
            </w:r>
            <w:r>
              <w:rPr>
                <w:sz w:val="28"/>
                <w:szCs w:val="28"/>
              </w:rPr>
              <w:t>0</w:t>
            </w:r>
            <w:r>
              <w:rPr>
                <w:rFonts w:hint="eastAsia" w:ascii="宋体" w:hAnsi="宋体" w:eastAsia="宋体" w:cs="宋体"/>
                <w:sz w:val="28"/>
                <w:szCs w:val="28"/>
              </w:rPr>
              <w:t>万元，上年事业收入完成</w:t>
            </w:r>
            <w:r>
              <w:rPr>
                <w:sz w:val="28"/>
                <w:szCs w:val="28"/>
              </w:rPr>
              <w:t>0</w:t>
            </w:r>
            <w:r>
              <w:rPr>
                <w:rFonts w:hint="eastAsia" w:ascii="宋体" w:hAnsi="宋体" w:eastAsia="宋体" w:cs="宋体"/>
                <w:sz w:val="28"/>
                <w:szCs w:val="28"/>
              </w:rPr>
              <w:t>万元</w:t>
            </w:r>
            <w:r>
              <w:rPr>
                <w:sz w:val="28"/>
                <w:szCs w:val="28"/>
              </w:rPr>
              <w:t>0 2019</w:t>
            </w:r>
            <w:r>
              <w:rPr>
                <w:rFonts w:hint="eastAsia" w:ascii="宋体" w:hAnsi="宋体" w:eastAsia="宋体" w:cs="宋体"/>
                <w:sz w:val="28"/>
                <w:szCs w:val="28"/>
              </w:rPr>
              <w:t>年，本部门支出</w:t>
            </w:r>
            <w:r>
              <w:rPr>
                <w:sz w:val="28"/>
                <w:szCs w:val="28"/>
              </w:rPr>
              <w:t>3565</w:t>
            </w:r>
            <w:r>
              <w:rPr>
                <w:rFonts w:hint="eastAsia" w:ascii="宋体" w:hAnsi="宋体" w:eastAsia="宋体" w:cs="宋体"/>
                <w:sz w:val="28"/>
                <w:szCs w:val="28"/>
              </w:rPr>
              <w:t>万元，比上年增长</w:t>
            </w:r>
            <w:r>
              <w:rPr>
                <w:sz w:val="28"/>
                <w:szCs w:val="28"/>
              </w:rPr>
              <w:t>1771.27</w:t>
            </w:r>
            <w:r>
              <w:rPr>
                <w:rFonts w:hint="eastAsia" w:ascii="宋体" w:hAnsi="宋体" w:eastAsia="宋体" w:cs="宋体"/>
                <w:sz w:val="28"/>
                <w:szCs w:val="28"/>
              </w:rPr>
              <w:t>万元，增长</w:t>
            </w:r>
            <w:r>
              <w:rPr>
                <w:sz w:val="28"/>
                <w:szCs w:val="28"/>
              </w:rPr>
              <w:t>98.75%</w:t>
            </w:r>
            <w:r>
              <w:rPr>
                <w:rFonts w:hint="eastAsia" w:ascii="宋体" w:hAnsi="宋体" w:eastAsia="宋体" w:cs="宋体"/>
                <w:sz w:val="28"/>
                <w:szCs w:val="28"/>
              </w:rPr>
              <w:t>；变化的主要原因：长沙市老干部活动中心基建工程尾款的清付。其中：基本支出完成</w:t>
            </w:r>
            <w:r>
              <w:rPr>
                <w:sz w:val="28"/>
                <w:szCs w:val="28"/>
              </w:rPr>
              <w:t>1077.87</w:t>
            </w:r>
            <w:r>
              <w:rPr>
                <w:rFonts w:hint="eastAsia" w:ascii="宋体" w:hAnsi="宋体" w:eastAsia="宋体" w:cs="宋体"/>
                <w:sz w:val="28"/>
                <w:szCs w:val="28"/>
              </w:rPr>
              <w:t>万元，比上年减少</w:t>
            </w:r>
            <w:r>
              <w:rPr>
                <w:sz w:val="28"/>
                <w:szCs w:val="28"/>
              </w:rPr>
              <w:t>21.48</w:t>
            </w:r>
            <w:r>
              <w:rPr>
                <w:rFonts w:hint="eastAsia" w:ascii="宋体" w:hAnsi="宋体" w:eastAsia="宋体" w:cs="宋体"/>
                <w:sz w:val="28"/>
                <w:szCs w:val="28"/>
              </w:rPr>
              <w:t>万元，下降</w:t>
            </w:r>
            <w:r>
              <w:rPr>
                <w:sz w:val="28"/>
                <w:szCs w:val="28"/>
              </w:rPr>
              <w:t>1.95%</w:t>
            </w:r>
            <w:r>
              <w:rPr>
                <w:rFonts w:hint="eastAsia" w:ascii="宋体" w:hAnsi="宋体" w:eastAsia="宋体" w:cs="宋体"/>
                <w:sz w:val="28"/>
                <w:szCs w:val="28"/>
              </w:rPr>
              <w:t>，变化的主要原因：正常人员异动。项目支出</w:t>
            </w:r>
            <w:r>
              <w:rPr>
                <w:sz w:val="28"/>
                <w:szCs w:val="28"/>
              </w:rPr>
              <w:t>2487.13</w:t>
            </w:r>
            <w:r>
              <w:rPr>
                <w:rFonts w:hint="eastAsia" w:ascii="宋体" w:hAnsi="宋体" w:eastAsia="宋体" w:cs="宋体"/>
                <w:sz w:val="28"/>
                <w:szCs w:val="28"/>
              </w:rPr>
              <w:t>万元，比上年增加</w:t>
            </w:r>
            <w:r>
              <w:rPr>
                <w:sz w:val="28"/>
                <w:szCs w:val="28"/>
              </w:rPr>
              <w:t>1792.76</w:t>
            </w:r>
            <w:r>
              <w:rPr>
                <w:rFonts w:hint="eastAsia" w:ascii="宋体" w:hAnsi="宋体" w:eastAsia="宋体" w:cs="宋体"/>
                <w:sz w:val="28"/>
                <w:szCs w:val="28"/>
              </w:rPr>
              <w:t>万元，增长</w:t>
            </w:r>
            <w:r>
              <w:rPr>
                <w:sz w:val="28"/>
                <w:szCs w:val="28"/>
              </w:rPr>
              <w:t>258.19%</w:t>
            </w:r>
            <w:r>
              <w:rPr>
                <w:rFonts w:hint="eastAsia" w:ascii="宋体" w:hAnsi="宋体" w:eastAsia="宋体" w:cs="宋体"/>
                <w:sz w:val="28"/>
                <w:szCs w:val="28"/>
              </w:rPr>
              <w:t>；变化的主要原因：长沙市老干部活动中心基建工程尾款的清付。人员经费完成</w:t>
            </w:r>
            <w:r>
              <w:rPr>
                <w:sz w:val="28"/>
                <w:szCs w:val="28"/>
              </w:rPr>
              <w:t>721.38</w:t>
            </w:r>
            <w:r>
              <w:rPr>
                <w:rFonts w:hint="eastAsia" w:ascii="宋体" w:hAnsi="宋体" w:eastAsia="宋体" w:cs="宋体"/>
                <w:sz w:val="28"/>
                <w:szCs w:val="28"/>
              </w:rPr>
              <w:t>万元，比上年增长</w:t>
            </w:r>
            <w:r>
              <w:rPr>
                <w:sz w:val="28"/>
                <w:szCs w:val="28"/>
              </w:rPr>
              <w:t>78.62</w:t>
            </w:r>
            <w:r>
              <w:rPr>
                <w:rFonts w:hint="eastAsia" w:ascii="宋体" w:hAnsi="宋体" w:eastAsia="宋体" w:cs="宋体"/>
                <w:sz w:val="28"/>
                <w:szCs w:val="28"/>
              </w:rPr>
              <w:t>万元，增长</w:t>
            </w:r>
            <w:r>
              <w:rPr>
                <w:sz w:val="28"/>
                <w:szCs w:val="28"/>
              </w:rPr>
              <w:t>12.23%</w:t>
            </w:r>
            <w:r>
              <w:rPr>
                <w:rFonts w:hint="eastAsia" w:ascii="宋体" w:hAnsi="宋体" w:eastAsia="宋体" w:cs="宋体"/>
                <w:sz w:val="28"/>
                <w:szCs w:val="28"/>
              </w:rPr>
              <w:t>，变化的主要原因：工资基数调整和工资晋级晋档；公用经费完成</w:t>
            </w:r>
            <w:r>
              <w:rPr>
                <w:sz w:val="28"/>
                <w:szCs w:val="28"/>
              </w:rPr>
              <w:t>89.04</w:t>
            </w:r>
            <w:r>
              <w:rPr>
                <w:rFonts w:hint="eastAsia" w:ascii="宋体" w:hAnsi="宋体" w:eastAsia="宋体" w:cs="宋体"/>
                <w:sz w:val="28"/>
                <w:szCs w:val="28"/>
              </w:rPr>
              <w:t>万元，比上年增长</w:t>
            </w:r>
            <w:r>
              <w:rPr>
                <w:sz w:val="28"/>
                <w:szCs w:val="28"/>
              </w:rPr>
              <w:t>2.39</w:t>
            </w:r>
            <w:r>
              <w:rPr>
                <w:rFonts w:hint="eastAsia" w:ascii="宋体" w:hAnsi="宋体" w:eastAsia="宋体" w:cs="宋体"/>
                <w:sz w:val="28"/>
                <w:szCs w:val="28"/>
              </w:rPr>
              <w:t>万元，增长</w:t>
            </w:r>
            <w:r>
              <w:rPr>
                <w:sz w:val="28"/>
                <w:szCs w:val="28"/>
              </w:rPr>
              <w:t>2.76%</w:t>
            </w:r>
            <w:r>
              <w:rPr>
                <w:rFonts w:hint="eastAsia" w:ascii="宋体" w:hAnsi="宋体" w:eastAsia="宋体" w:cs="宋体"/>
                <w:sz w:val="28"/>
                <w:szCs w:val="28"/>
              </w:rPr>
              <w:t>，变化的主要原因：</w:t>
            </w:r>
            <w:r>
              <w:rPr>
                <w:sz w:val="28"/>
                <w:szCs w:val="28"/>
              </w:rPr>
              <w:t>2019</w:t>
            </w:r>
            <w:r>
              <w:rPr>
                <w:rFonts w:hint="eastAsia" w:ascii="宋体" w:hAnsi="宋体" w:eastAsia="宋体" w:cs="宋体"/>
                <w:sz w:val="28"/>
                <w:szCs w:val="28"/>
              </w:rPr>
              <w:t>年在职人员增加</w:t>
            </w:r>
            <w:r>
              <w:rPr>
                <w:sz w:val="28"/>
                <w:szCs w:val="28"/>
              </w:rPr>
              <w:t>1</w:t>
            </w:r>
            <w:r>
              <w:rPr>
                <w:rFonts w:hint="eastAsia" w:ascii="宋体" w:hAnsi="宋体" w:eastAsia="宋体" w:cs="宋体"/>
                <w:sz w:val="28"/>
                <w:szCs w:val="28"/>
              </w:rPr>
              <w:t>人。 （</w:t>
            </w:r>
            <w:r>
              <w:rPr>
                <w:sz w:val="28"/>
                <w:szCs w:val="28"/>
              </w:rPr>
              <w:t>1</w:t>
            </w:r>
            <w:r>
              <w:rPr>
                <w:rFonts w:hint="eastAsia" w:ascii="宋体" w:hAnsi="宋体" w:eastAsia="宋体" w:cs="宋体"/>
                <w:sz w:val="28"/>
                <w:szCs w:val="28"/>
              </w:rPr>
              <w:t>）“三公”经费支出情况：</w:t>
            </w:r>
            <w:r>
              <w:rPr>
                <w:sz w:val="28"/>
                <w:szCs w:val="28"/>
              </w:rPr>
              <w:t>2019</w:t>
            </w:r>
            <w:r>
              <w:rPr>
                <w:rFonts w:hint="eastAsia" w:ascii="宋体" w:hAnsi="宋体" w:eastAsia="宋体" w:cs="宋体"/>
                <w:sz w:val="28"/>
                <w:szCs w:val="28"/>
              </w:rPr>
              <w:t>年，“三公”经费完成</w:t>
            </w:r>
            <w:r>
              <w:rPr>
                <w:sz w:val="28"/>
                <w:szCs w:val="28"/>
              </w:rPr>
              <w:t>139069.16</w:t>
            </w:r>
            <w:r>
              <w:rPr>
                <w:rFonts w:hint="eastAsia" w:ascii="宋体" w:hAnsi="宋体" w:eastAsia="宋体" w:cs="宋体"/>
                <w:sz w:val="28"/>
                <w:szCs w:val="28"/>
              </w:rPr>
              <w:t>元，比上年增减</w:t>
            </w:r>
            <w:r>
              <w:rPr>
                <w:sz w:val="28"/>
                <w:szCs w:val="28"/>
              </w:rPr>
              <w:t>28966.81</w:t>
            </w:r>
            <w:r>
              <w:rPr>
                <w:rFonts w:hint="eastAsia" w:ascii="宋体" w:hAnsi="宋体" w:eastAsia="宋体" w:cs="宋体"/>
                <w:sz w:val="28"/>
                <w:szCs w:val="28"/>
              </w:rPr>
              <w:t>元，增加</w:t>
            </w:r>
            <w:r>
              <w:rPr>
                <w:sz w:val="28"/>
                <w:szCs w:val="28"/>
              </w:rPr>
              <w:t>26.31%</w:t>
            </w:r>
            <w:r>
              <w:rPr>
                <w:rFonts w:hint="eastAsia" w:ascii="宋体" w:hAnsi="宋体" w:eastAsia="宋体" w:cs="宋体"/>
                <w:sz w:val="28"/>
                <w:szCs w:val="28"/>
              </w:rPr>
              <w:t>，增减变化的主要原因是：接外地老干系统公务函，公务接待费增长。其中：因公出国（境）费完成</w:t>
            </w:r>
            <w:r>
              <w:rPr>
                <w:sz w:val="28"/>
                <w:szCs w:val="28"/>
              </w:rPr>
              <w:t>0</w:t>
            </w:r>
            <w:r>
              <w:rPr>
                <w:rFonts w:hint="eastAsia" w:ascii="宋体" w:hAnsi="宋体" w:eastAsia="宋体" w:cs="宋体"/>
                <w:sz w:val="28"/>
                <w:szCs w:val="28"/>
              </w:rPr>
              <w:t>元，上年因公出国（境）费</w:t>
            </w:r>
            <w:r>
              <w:rPr>
                <w:sz w:val="28"/>
                <w:szCs w:val="28"/>
              </w:rPr>
              <w:t>0</w:t>
            </w:r>
            <w:r>
              <w:rPr>
                <w:rFonts w:hint="eastAsia" w:ascii="宋体" w:hAnsi="宋体" w:eastAsia="宋体" w:cs="宋体"/>
                <w:sz w:val="28"/>
                <w:szCs w:val="28"/>
              </w:rPr>
              <w:t>元；公务接待费完成</w:t>
            </w:r>
            <w:r>
              <w:rPr>
                <w:sz w:val="28"/>
                <w:szCs w:val="28"/>
              </w:rPr>
              <w:t>39292</w:t>
            </w:r>
            <w:r>
              <w:rPr>
                <w:rFonts w:hint="eastAsia" w:ascii="宋体" w:hAnsi="宋体" w:eastAsia="宋体" w:cs="宋体"/>
                <w:sz w:val="28"/>
                <w:szCs w:val="28"/>
              </w:rPr>
              <w:t>元，比上年增减</w:t>
            </w:r>
            <w:r>
              <w:rPr>
                <w:sz w:val="28"/>
                <w:szCs w:val="28"/>
              </w:rPr>
              <w:t>27258</w:t>
            </w:r>
            <w:r>
              <w:rPr>
                <w:rFonts w:hint="eastAsia" w:ascii="宋体" w:hAnsi="宋体" w:eastAsia="宋体" w:cs="宋体"/>
                <w:sz w:val="28"/>
                <w:szCs w:val="28"/>
              </w:rPr>
              <w:t>元，增加</w:t>
            </w:r>
            <w:r>
              <w:rPr>
                <w:sz w:val="28"/>
                <w:szCs w:val="28"/>
              </w:rPr>
              <w:t>226.51%</w:t>
            </w:r>
            <w:r>
              <w:rPr>
                <w:rFonts w:hint="eastAsia" w:ascii="宋体" w:hAnsi="宋体" w:eastAsia="宋体" w:cs="宋体"/>
                <w:sz w:val="28"/>
                <w:szCs w:val="28"/>
              </w:rPr>
              <w:t>，增减变化的主要原因是：接外地老干系统公务函，公务接待费增长；公务用车购置及运行维护费完成</w:t>
            </w:r>
            <w:r>
              <w:rPr>
                <w:sz w:val="28"/>
                <w:szCs w:val="28"/>
              </w:rPr>
              <w:t>99777.16</w:t>
            </w:r>
            <w:r>
              <w:rPr>
                <w:rFonts w:hint="eastAsia" w:ascii="宋体" w:hAnsi="宋体" w:eastAsia="宋体" w:cs="宋体"/>
                <w:sz w:val="28"/>
                <w:szCs w:val="28"/>
              </w:rPr>
              <w:t>元，比上年增减</w:t>
            </w:r>
            <w:r>
              <w:rPr>
                <w:sz w:val="28"/>
                <w:szCs w:val="28"/>
              </w:rPr>
              <w:t>1708.81</w:t>
            </w:r>
            <w:r>
              <w:rPr>
                <w:rFonts w:hint="eastAsia" w:ascii="宋体" w:hAnsi="宋体" w:eastAsia="宋体" w:cs="宋体"/>
                <w:sz w:val="28"/>
                <w:szCs w:val="28"/>
              </w:rPr>
              <w:t>元，增加</w:t>
            </w:r>
            <w:r>
              <w:rPr>
                <w:sz w:val="28"/>
                <w:szCs w:val="28"/>
              </w:rPr>
              <w:t>1.74%</w:t>
            </w:r>
            <w:r>
              <w:rPr>
                <w:rFonts w:hint="eastAsia" w:ascii="宋体" w:hAnsi="宋体" w:eastAsia="宋体" w:cs="宋体"/>
                <w:sz w:val="28"/>
                <w:szCs w:val="28"/>
              </w:rPr>
              <w:t>，增减变化的主要原因是：公务车正常老化。 （</w:t>
            </w:r>
            <w:r>
              <w:rPr>
                <w:sz w:val="28"/>
                <w:szCs w:val="28"/>
              </w:rPr>
              <w:t>2</w:t>
            </w:r>
            <w:r>
              <w:rPr>
                <w:rFonts w:hint="eastAsia" w:ascii="宋体" w:hAnsi="宋体" w:eastAsia="宋体" w:cs="宋体"/>
                <w:sz w:val="28"/>
                <w:szCs w:val="28"/>
              </w:rPr>
              <w:t>）会议费支出情况：</w:t>
            </w:r>
            <w:r>
              <w:rPr>
                <w:sz w:val="28"/>
                <w:szCs w:val="28"/>
              </w:rPr>
              <w:t>2019</w:t>
            </w:r>
            <w:r>
              <w:rPr>
                <w:rFonts w:hint="eastAsia" w:ascii="宋体" w:hAnsi="宋体" w:eastAsia="宋体" w:cs="宋体"/>
                <w:sz w:val="28"/>
                <w:szCs w:val="28"/>
              </w:rPr>
              <w:t>年会议费完成</w:t>
            </w:r>
            <w:r>
              <w:rPr>
                <w:sz w:val="28"/>
                <w:szCs w:val="28"/>
              </w:rPr>
              <w:t>57140</w:t>
            </w:r>
            <w:r>
              <w:rPr>
                <w:rFonts w:hint="eastAsia" w:ascii="宋体" w:hAnsi="宋体" w:eastAsia="宋体" w:cs="宋体"/>
                <w:sz w:val="28"/>
                <w:szCs w:val="28"/>
              </w:rPr>
              <w:t>元，比上年减少</w:t>
            </w:r>
            <w:r>
              <w:rPr>
                <w:sz w:val="28"/>
                <w:szCs w:val="28"/>
              </w:rPr>
              <w:t>84868</w:t>
            </w:r>
            <w:r>
              <w:rPr>
                <w:rFonts w:hint="eastAsia" w:ascii="宋体" w:hAnsi="宋体" w:eastAsia="宋体" w:cs="宋体"/>
                <w:sz w:val="28"/>
                <w:szCs w:val="28"/>
              </w:rPr>
              <w:t>元，下降</w:t>
            </w:r>
            <w:r>
              <w:rPr>
                <w:sz w:val="28"/>
                <w:szCs w:val="28"/>
              </w:rPr>
              <w:t>59.76%</w:t>
            </w:r>
            <w:r>
              <w:rPr>
                <w:rFonts w:hint="eastAsia" w:ascii="宋体" w:hAnsi="宋体" w:eastAsia="宋体" w:cs="宋体"/>
                <w:sz w:val="28"/>
                <w:szCs w:val="28"/>
              </w:rPr>
              <w:t>，增减变化的主要原因是：厉行节俭。 （</w:t>
            </w:r>
            <w:r>
              <w:rPr>
                <w:sz w:val="28"/>
                <w:szCs w:val="28"/>
              </w:rPr>
              <w:t>3</w:t>
            </w:r>
            <w:r>
              <w:rPr>
                <w:rFonts w:hint="eastAsia" w:ascii="宋体" w:hAnsi="宋体" w:eastAsia="宋体" w:cs="宋体"/>
                <w:sz w:val="28"/>
                <w:szCs w:val="28"/>
              </w:rPr>
              <w:t>）培训费支出情况：</w:t>
            </w:r>
            <w:r>
              <w:rPr>
                <w:sz w:val="28"/>
                <w:szCs w:val="28"/>
              </w:rPr>
              <w:t>2019</w:t>
            </w:r>
            <w:r>
              <w:rPr>
                <w:rFonts w:hint="eastAsia" w:ascii="宋体" w:hAnsi="宋体" w:eastAsia="宋体" w:cs="宋体"/>
                <w:sz w:val="28"/>
                <w:szCs w:val="28"/>
              </w:rPr>
              <w:t>年培训费完成</w:t>
            </w:r>
            <w:r>
              <w:rPr>
                <w:sz w:val="28"/>
                <w:szCs w:val="28"/>
              </w:rPr>
              <w:t>122121.81</w:t>
            </w:r>
            <w:r>
              <w:rPr>
                <w:rFonts w:hint="eastAsia" w:ascii="宋体" w:hAnsi="宋体" w:eastAsia="宋体" w:cs="宋体"/>
                <w:sz w:val="28"/>
                <w:szCs w:val="28"/>
              </w:rPr>
              <w:t>元，比上年增加</w:t>
            </w:r>
            <w:r>
              <w:rPr>
                <w:sz w:val="28"/>
                <w:szCs w:val="28"/>
              </w:rPr>
              <w:t>18138.81</w:t>
            </w:r>
            <w:r>
              <w:rPr>
                <w:rFonts w:hint="eastAsia" w:ascii="宋体" w:hAnsi="宋体" w:eastAsia="宋体" w:cs="宋体"/>
                <w:sz w:val="28"/>
                <w:szCs w:val="28"/>
              </w:rPr>
              <w:t>元，增加</w:t>
            </w:r>
            <w:r>
              <w:rPr>
                <w:sz w:val="28"/>
                <w:szCs w:val="28"/>
              </w:rPr>
              <w:t>17.44%</w:t>
            </w:r>
            <w:r>
              <w:rPr>
                <w:rFonts w:hint="eastAsia" w:ascii="宋体" w:hAnsi="宋体" w:eastAsia="宋体" w:cs="宋体"/>
                <w:sz w:val="28"/>
                <w:szCs w:val="28"/>
              </w:rPr>
              <w:t>，增减变化的主要原因是：根据工作安排。</w:t>
            </w:r>
          </w:p>
        </w:tc>
      </w:tr>
      <w:tr w14:paraId="5710A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3284" w:type="dxa"/>
            <w:vMerge w:val="continue"/>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4C179C6E">
            <w:pPr>
              <w:rPr>
                <w:rFonts w:hint="eastAsia" w:ascii="宋体"/>
                <w:sz w:val="24"/>
                <w:szCs w:val="24"/>
              </w:rPr>
            </w:pPr>
          </w:p>
        </w:tc>
        <w:tc>
          <w:tcPr>
            <w:tcW w:w="6616" w:type="dxa"/>
            <w:gridSpan w:val="8"/>
            <w:vMerge w:val="continue"/>
            <w:tcBorders>
              <w:top w:val="nil"/>
              <w:left w:val="nil"/>
              <w:bottom w:val="single" w:color="00000A" w:sz="8" w:space="0"/>
              <w:right w:val="single" w:color="00000A" w:sz="8" w:space="0"/>
            </w:tcBorders>
            <w:tcMar>
              <w:top w:w="0" w:type="dxa"/>
              <w:left w:w="0" w:type="dxa"/>
              <w:bottom w:w="0" w:type="dxa"/>
              <w:right w:w="115" w:type="dxa"/>
            </w:tcMar>
            <w:vAlign w:val="top"/>
          </w:tcPr>
          <w:p w14:paraId="55DF3DA3">
            <w:pPr>
              <w:rPr>
                <w:rFonts w:hint="eastAsia" w:ascii="宋体"/>
                <w:sz w:val="24"/>
                <w:szCs w:val="24"/>
              </w:rPr>
            </w:pPr>
          </w:p>
        </w:tc>
      </w:tr>
      <w:tr w14:paraId="4174D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3284" w:type="dxa"/>
            <w:vMerge w:val="continue"/>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377B1152">
            <w:pPr>
              <w:rPr>
                <w:rFonts w:hint="eastAsia" w:ascii="宋体"/>
                <w:sz w:val="24"/>
                <w:szCs w:val="24"/>
              </w:rPr>
            </w:pPr>
          </w:p>
        </w:tc>
        <w:tc>
          <w:tcPr>
            <w:tcW w:w="6616" w:type="dxa"/>
            <w:gridSpan w:val="8"/>
            <w:vMerge w:val="continue"/>
            <w:tcBorders>
              <w:top w:val="nil"/>
              <w:left w:val="nil"/>
              <w:bottom w:val="single" w:color="00000A" w:sz="8" w:space="0"/>
              <w:right w:val="single" w:color="00000A" w:sz="8" w:space="0"/>
            </w:tcBorders>
            <w:tcMar>
              <w:top w:w="0" w:type="dxa"/>
              <w:left w:w="0" w:type="dxa"/>
              <w:bottom w:w="0" w:type="dxa"/>
              <w:right w:w="115" w:type="dxa"/>
            </w:tcMar>
            <w:vAlign w:val="top"/>
          </w:tcPr>
          <w:p w14:paraId="6632946B">
            <w:pPr>
              <w:rPr>
                <w:rFonts w:hint="eastAsia" w:ascii="宋体"/>
                <w:sz w:val="24"/>
                <w:szCs w:val="24"/>
              </w:rPr>
            </w:pPr>
          </w:p>
        </w:tc>
      </w:tr>
      <w:tr w14:paraId="24267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3284" w:type="dxa"/>
            <w:vMerge w:val="continue"/>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4DBEAF2E">
            <w:pPr>
              <w:rPr>
                <w:rFonts w:hint="eastAsia" w:ascii="宋体"/>
                <w:sz w:val="24"/>
                <w:szCs w:val="24"/>
              </w:rPr>
            </w:pPr>
          </w:p>
        </w:tc>
        <w:tc>
          <w:tcPr>
            <w:tcW w:w="6616" w:type="dxa"/>
            <w:gridSpan w:val="8"/>
            <w:vMerge w:val="continue"/>
            <w:tcBorders>
              <w:top w:val="nil"/>
              <w:left w:val="nil"/>
              <w:bottom w:val="single" w:color="00000A" w:sz="8" w:space="0"/>
              <w:right w:val="single" w:color="00000A" w:sz="8" w:space="0"/>
            </w:tcBorders>
            <w:tcMar>
              <w:top w:w="0" w:type="dxa"/>
              <w:left w:w="0" w:type="dxa"/>
              <w:bottom w:w="0" w:type="dxa"/>
              <w:right w:w="115" w:type="dxa"/>
            </w:tcMar>
            <w:vAlign w:val="top"/>
          </w:tcPr>
          <w:p w14:paraId="09C56F93">
            <w:pPr>
              <w:rPr>
                <w:rFonts w:hint="eastAsia" w:ascii="宋体"/>
                <w:sz w:val="24"/>
                <w:szCs w:val="24"/>
              </w:rPr>
            </w:pPr>
          </w:p>
        </w:tc>
      </w:tr>
      <w:tr w14:paraId="3C10D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3284" w:type="dxa"/>
            <w:vMerge w:val="restart"/>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21443C21">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Style w:val="5"/>
                <w:rFonts w:hint="default" w:ascii="仿宋_GB2312" w:eastAsia="仿宋_GB2312" w:cs="仿宋_GB2312"/>
                <w:sz w:val="24"/>
                <w:szCs w:val="24"/>
              </w:rPr>
              <w:t>部门整体支出管理及使用情况</w:t>
            </w:r>
          </w:p>
        </w:tc>
        <w:tc>
          <w:tcPr>
            <w:tcW w:w="6616" w:type="dxa"/>
            <w:gridSpan w:val="8"/>
            <w:vMerge w:val="restart"/>
            <w:tcBorders>
              <w:top w:val="nil"/>
              <w:left w:val="nil"/>
              <w:bottom w:val="single" w:color="00000A" w:sz="8" w:space="0"/>
              <w:right w:val="single" w:color="00000A" w:sz="8" w:space="0"/>
            </w:tcBorders>
            <w:tcMar>
              <w:top w:w="0" w:type="dxa"/>
              <w:left w:w="0" w:type="dxa"/>
              <w:bottom w:w="0" w:type="dxa"/>
              <w:right w:w="115" w:type="dxa"/>
            </w:tcMar>
            <w:vAlign w:val="center"/>
          </w:tcPr>
          <w:p w14:paraId="30D7C9B1">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rPr>
                <w:sz w:val="19"/>
                <w:szCs w:val="19"/>
              </w:rPr>
            </w:pPr>
            <w:r>
              <w:rPr>
                <w:sz w:val="28"/>
                <w:szCs w:val="28"/>
              </w:rPr>
              <w:t>1</w:t>
            </w:r>
            <w:r>
              <w:rPr>
                <w:rFonts w:hint="eastAsia" w:ascii="宋体" w:hAnsi="宋体" w:eastAsia="宋体" w:cs="宋体"/>
                <w:sz w:val="28"/>
                <w:szCs w:val="28"/>
              </w:rPr>
              <w:t>、</w:t>
            </w:r>
            <w:r>
              <w:rPr>
                <w:sz w:val="28"/>
                <w:szCs w:val="28"/>
              </w:rPr>
              <w:t>2019</w:t>
            </w:r>
            <w:r>
              <w:rPr>
                <w:rFonts w:hint="eastAsia" w:ascii="宋体" w:hAnsi="宋体" w:eastAsia="宋体" w:cs="宋体"/>
                <w:sz w:val="28"/>
                <w:szCs w:val="28"/>
              </w:rPr>
              <w:t>年，本部门年初预算收入</w:t>
            </w:r>
            <w:r>
              <w:rPr>
                <w:sz w:val="28"/>
                <w:szCs w:val="28"/>
              </w:rPr>
              <w:t>1654.58</w:t>
            </w:r>
            <w:r>
              <w:rPr>
                <w:rFonts w:hint="eastAsia" w:ascii="宋体" w:hAnsi="宋体" w:eastAsia="宋体" w:cs="宋体"/>
                <w:sz w:val="28"/>
                <w:szCs w:val="28"/>
              </w:rPr>
              <w:t>万元，预算收入较</w:t>
            </w:r>
            <w:r>
              <w:rPr>
                <w:sz w:val="28"/>
                <w:szCs w:val="28"/>
              </w:rPr>
              <w:t>2018</w:t>
            </w:r>
            <w:r>
              <w:rPr>
                <w:rFonts w:hint="eastAsia" w:ascii="宋体" w:hAnsi="宋体" w:eastAsia="宋体" w:cs="宋体"/>
                <w:sz w:val="28"/>
                <w:szCs w:val="28"/>
              </w:rPr>
              <w:t>年减少</w:t>
            </w:r>
            <w:r>
              <w:rPr>
                <w:sz w:val="28"/>
                <w:szCs w:val="28"/>
              </w:rPr>
              <w:t>3.67</w:t>
            </w:r>
            <w:r>
              <w:rPr>
                <w:rFonts w:hint="eastAsia" w:ascii="宋体" w:hAnsi="宋体" w:eastAsia="宋体" w:cs="宋体"/>
                <w:sz w:val="28"/>
                <w:szCs w:val="28"/>
              </w:rPr>
              <w:t>万元，下降</w:t>
            </w:r>
            <w:r>
              <w:rPr>
                <w:sz w:val="28"/>
                <w:szCs w:val="28"/>
              </w:rPr>
              <w:t>0.22%</w:t>
            </w:r>
            <w:r>
              <w:rPr>
                <w:rFonts w:hint="eastAsia" w:ascii="宋体" w:hAnsi="宋体" w:eastAsia="宋体" w:cs="宋体"/>
                <w:sz w:val="28"/>
                <w:szCs w:val="28"/>
              </w:rPr>
              <w:t>，基本收入增加的原因为工资基数调整和工资晋级晋档及全市对二级预算单位政策性调标，项目收入减少的原因为：全市性的项目经费压减。其中：一般公共预算财政拨款收入年初预算</w:t>
            </w:r>
            <w:r>
              <w:rPr>
                <w:sz w:val="28"/>
                <w:szCs w:val="28"/>
              </w:rPr>
              <w:t>786.37</w:t>
            </w:r>
            <w:r>
              <w:rPr>
                <w:rFonts w:hint="eastAsia" w:ascii="宋体" w:hAnsi="宋体" w:eastAsia="宋体" w:cs="宋体"/>
                <w:sz w:val="28"/>
                <w:szCs w:val="28"/>
              </w:rPr>
              <w:t>万元，比上年减少</w:t>
            </w:r>
            <w:r>
              <w:rPr>
                <w:sz w:val="28"/>
                <w:szCs w:val="28"/>
              </w:rPr>
              <w:t>54.57</w:t>
            </w:r>
            <w:r>
              <w:rPr>
                <w:rFonts w:hint="eastAsia" w:ascii="宋体" w:hAnsi="宋体" w:eastAsia="宋体" w:cs="宋体"/>
                <w:sz w:val="28"/>
                <w:szCs w:val="28"/>
              </w:rPr>
              <w:t>万元；政府性基金预算为</w:t>
            </w:r>
            <w:r>
              <w:rPr>
                <w:sz w:val="28"/>
                <w:szCs w:val="28"/>
              </w:rPr>
              <w:t>0</w:t>
            </w:r>
            <w:r>
              <w:rPr>
                <w:rFonts w:hint="eastAsia" w:ascii="宋体" w:hAnsi="宋体" w:eastAsia="宋体" w:cs="宋体"/>
                <w:sz w:val="28"/>
                <w:szCs w:val="28"/>
              </w:rPr>
              <w:t>万元；上级补助收入年初预算</w:t>
            </w:r>
            <w:r>
              <w:rPr>
                <w:sz w:val="28"/>
                <w:szCs w:val="28"/>
              </w:rPr>
              <w:t>0</w:t>
            </w:r>
            <w:r>
              <w:rPr>
                <w:rFonts w:hint="eastAsia" w:ascii="宋体" w:hAnsi="宋体" w:eastAsia="宋体" w:cs="宋体"/>
                <w:sz w:val="28"/>
                <w:szCs w:val="28"/>
              </w:rPr>
              <w:t>万元；事业收入年初预算</w:t>
            </w:r>
            <w:r>
              <w:rPr>
                <w:sz w:val="28"/>
                <w:szCs w:val="28"/>
              </w:rPr>
              <w:t>0</w:t>
            </w:r>
            <w:r>
              <w:rPr>
                <w:rFonts w:hint="eastAsia" w:ascii="宋体" w:hAnsi="宋体" w:eastAsia="宋体" w:cs="宋体"/>
                <w:sz w:val="28"/>
                <w:szCs w:val="28"/>
              </w:rPr>
              <w:t>万元；经营收入年初预算收入</w:t>
            </w:r>
            <w:r>
              <w:rPr>
                <w:sz w:val="28"/>
                <w:szCs w:val="28"/>
              </w:rPr>
              <w:t>0</w:t>
            </w:r>
            <w:r>
              <w:rPr>
                <w:rFonts w:hint="eastAsia" w:ascii="宋体" w:hAnsi="宋体" w:eastAsia="宋体" w:cs="宋体"/>
                <w:sz w:val="28"/>
                <w:szCs w:val="28"/>
              </w:rPr>
              <w:t>万元。 “三公”经费支出情况：</w:t>
            </w:r>
            <w:r>
              <w:rPr>
                <w:sz w:val="28"/>
                <w:szCs w:val="28"/>
              </w:rPr>
              <w:t>2019</w:t>
            </w:r>
            <w:r>
              <w:rPr>
                <w:rFonts w:hint="eastAsia" w:ascii="宋体" w:hAnsi="宋体" w:eastAsia="宋体" w:cs="宋体"/>
                <w:sz w:val="28"/>
                <w:szCs w:val="28"/>
              </w:rPr>
              <w:t>年，“三公”经费完成</w:t>
            </w:r>
            <w:r>
              <w:rPr>
                <w:sz w:val="28"/>
                <w:szCs w:val="28"/>
              </w:rPr>
              <w:t>139069.16</w:t>
            </w:r>
            <w:r>
              <w:rPr>
                <w:rFonts w:hint="eastAsia" w:ascii="宋体" w:hAnsi="宋体" w:eastAsia="宋体" w:cs="宋体"/>
                <w:sz w:val="28"/>
                <w:szCs w:val="28"/>
              </w:rPr>
              <w:t>元，比上年增减</w:t>
            </w:r>
            <w:r>
              <w:rPr>
                <w:sz w:val="28"/>
                <w:szCs w:val="28"/>
              </w:rPr>
              <w:t>28966.81</w:t>
            </w:r>
            <w:r>
              <w:rPr>
                <w:rFonts w:hint="eastAsia" w:ascii="宋体" w:hAnsi="宋体" w:eastAsia="宋体" w:cs="宋体"/>
                <w:sz w:val="28"/>
                <w:szCs w:val="28"/>
              </w:rPr>
              <w:t>元，增加</w:t>
            </w:r>
            <w:r>
              <w:rPr>
                <w:sz w:val="28"/>
                <w:szCs w:val="28"/>
              </w:rPr>
              <w:t>26.31%</w:t>
            </w:r>
            <w:r>
              <w:rPr>
                <w:rFonts w:hint="eastAsia" w:ascii="宋体" w:hAnsi="宋体" w:eastAsia="宋体" w:cs="宋体"/>
                <w:sz w:val="28"/>
                <w:szCs w:val="28"/>
              </w:rPr>
              <w:t>，增减变化的主要原因是：接外地老干系统公务函，公务接待费增长。其中：因公出国（境）费完成</w:t>
            </w:r>
            <w:r>
              <w:rPr>
                <w:sz w:val="28"/>
                <w:szCs w:val="28"/>
              </w:rPr>
              <w:t>0</w:t>
            </w:r>
            <w:r>
              <w:rPr>
                <w:rFonts w:hint="eastAsia" w:ascii="宋体" w:hAnsi="宋体" w:eastAsia="宋体" w:cs="宋体"/>
                <w:sz w:val="28"/>
                <w:szCs w:val="28"/>
              </w:rPr>
              <w:t>元，上年因公出国（境）费</w:t>
            </w:r>
            <w:r>
              <w:rPr>
                <w:sz w:val="28"/>
                <w:szCs w:val="28"/>
              </w:rPr>
              <w:t>0</w:t>
            </w:r>
            <w:r>
              <w:rPr>
                <w:rFonts w:hint="eastAsia" w:ascii="宋体" w:hAnsi="宋体" w:eastAsia="宋体" w:cs="宋体"/>
                <w:sz w:val="28"/>
                <w:szCs w:val="28"/>
              </w:rPr>
              <w:t>元；公务接待费完成</w:t>
            </w:r>
            <w:r>
              <w:rPr>
                <w:sz w:val="28"/>
                <w:szCs w:val="28"/>
              </w:rPr>
              <w:t>39292</w:t>
            </w:r>
            <w:r>
              <w:rPr>
                <w:rFonts w:hint="eastAsia" w:ascii="宋体" w:hAnsi="宋体" w:eastAsia="宋体" w:cs="宋体"/>
                <w:sz w:val="28"/>
                <w:szCs w:val="28"/>
              </w:rPr>
              <w:t>元，比上年增减</w:t>
            </w:r>
            <w:r>
              <w:rPr>
                <w:sz w:val="28"/>
                <w:szCs w:val="28"/>
              </w:rPr>
              <w:t>27258</w:t>
            </w:r>
            <w:r>
              <w:rPr>
                <w:rFonts w:hint="eastAsia" w:ascii="宋体" w:hAnsi="宋体" w:eastAsia="宋体" w:cs="宋体"/>
                <w:sz w:val="28"/>
                <w:szCs w:val="28"/>
              </w:rPr>
              <w:t>元，增加</w:t>
            </w:r>
            <w:r>
              <w:rPr>
                <w:sz w:val="28"/>
                <w:szCs w:val="28"/>
              </w:rPr>
              <w:t>226.51%</w:t>
            </w:r>
            <w:r>
              <w:rPr>
                <w:rFonts w:hint="eastAsia" w:ascii="宋体" w:hAnsi="宋体" w:eastAsia="宋体" w:cs="宋体"/>
                <w:sz w:val="28"/>
                <w:szCs w:val="28"/>
              </w:rPr>
              <w:t>，增减变化的主要原因是：接外地老干系统公务函，公务接待费增长；公务用车购置及运行维护费完成</w:t>
            </w:r>
            <w:r>
              <w:rPr>
                <w:sz w:val="28"/>
                <w:szCs w:val="28"/>
              </w:rPr>
              <w:t>99777.16</w:t>
            </w:r>
            <w:r>
              <w:rPr>
                <w:rFonts w:hint="eastAsia" w:ascii="宋体" w:hAnsi="宋体" w:eastAsia="宋体" w:cs="宋体"/>
                <w:sz w:val="28"/>
                <w:szCs w:val="28"/>
              </w:rPr>
              <w:t>元，比上年增减</w:t>
            </w:r>
            <w:r>
              <w:rPr>
                <w:sz w:val="28"/>
                <w:szCs w:val="28"/>
              </w:rPr>
              <w:t>1708.81</w:t>
            </w:r>
            <w:r>
              <w:rPr>
                <w:rFonts w:hint="eastAsia" w:ascii="宋体" w:hAnsi="宋体" w:eastAsia="宋体" w:cs="宋体"/>
                <w:sz w:val="28"/>
                <w:szCs w:val="28"/>
              </w:rPr>
              <w:t>元，增加</w:t>
            </w:r>
            <w:r>
              <w:rPr>
                <w:sz w:val="28"/>
                <w:szCs w:val="28"/>
              </w:rPr>
              <w:t>1.74%</w:t>
            </w:r>
            <w:r>
              <w:rPr>
                <w:rFonts w:hint="eastAsia" w:ascii="宋体" w:hAnsi="宋体" w:eastAsia="宋体" w:cs="宋体"/>
                <w:sz w:val="28"/>
                <w:szCs w:val="28"/>
              </w:rPr>
              <w:t>，增减变化的主要原因是：公务车正常老化。</w:t>
            </w:r>
          </w:p>
          <w:p w14:paraId="0413DDEC">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rPr>
                <w:sz w:val="19"/>
                <w:szCs w:val="19"/>
              </w:rPr>
            </w:pPr>
            <w:r>
              <w:rPr>
                <w:sz w:val="28"/>
                <w:szCs w:val="28"/>
              </w:rPr>
              <w:t>2</w:t>
            </w:r>
            <w:r>
              <w:rPr>
                <w:rFonts w:hint="eastAsia" w:ascii="宋体" w:hAnsi="宋体" w:eastAsia="宋体" w:cs="宋体"/>
                <w:sz w:val="28"/>
                <w:szCs w:val="28"/>
              </w:rPr>
              <w:t>、项目支出</w:t>
            </w:r>
            <w:r>
              <w:rPr>
                <w:sz w:val="28"/>
                <w:szCs w:val="28"/>
              </w:rPr>
              <w:t>2487.13</w:t>
            </w:r>
            <w:r>
              <w:rPr>
                <w:rFonts w:hint="eastAsia" w:ascii="宋体" w:hAnsi="宋体" w:eastAsia="宋体" w:cs="宋体"/>
                <w:sz w:val="28"/>
                <w:szCs w:val="28"/>
              </w:rPr>
              <w:t>万元，比上年增加</w:t>
            </w:r>
            <w:r>
              <w:rPr>
                <w:sz w:val="28"/>
                <w:szCs w:val="28"/>
              </w:rPr>
              <w:t>1792.76</w:t>
            </w:r>
            <w:r>
              <w:rPr>
                <w:rFonts w:hint="eastAsia" w:ascii="宋体" w:hAnsi="宋体" w:eastAsia="宋体" w:cs="宋体"/>
                <w:sz w:val="28"/>
                <w:szCs w:val="28"/>
              </w:rPr>
              <w:t>万元，增长</w:t>
            </w:r>
            <w:r>
              <w:rPr>
                <w:sz w:val="28"/>
                <w:szCs w:val="28"/>
              </w:rPr>
              <w:t>258.19%</w:t>
            </w:r>
            <w:r>
              <w:rPr>
                <w:rFonts w:hint="eastAsia" w:ascii="宋体" w:hAnsi="宋体" w:eastAsia="宋体" w:cs="宋体"/>
                <w:sz w:val="28"/>
                <w:szCs w:val="28"/>
              </w:rPr>
              <w:t>；变化的主要原因：长沙市老干部活动中心基建工程尾款的清付 项目经费组成：各类老年协会项目经费</w:t>
            </w:r>
            <w:r>
              <w:rPr>
                <w:sz w:val="28"/>
                <w:szCs w:val="28"/>
              </w:rPr>
              <w:t>128.25</w:t>
            </w:r>
            <w:r>
              <w:rPr>
                <w:rFonts w:hint="eastAsia" w:ascii="宋体" w:hAnsi="宋体" w:eastAsia="宋体" w:cs="宋体"/>
                <w:sz w:val="28"/>
                <w:szCs w:val="28"/>
              </w:rPr>
              <w:t>万元，属于我局所服务的副市级实职退休老领导及离休干部，在退休后发挥余热，组织老同志成立的兴趣协会，其经费由诗词协会、书画协会、钓鱼协会、老年保健协会自行调配，用于活动开支；五老四教主题活动经费</w:t>
            </w:r>
            <w:r>
              <w:rPr>
                <w:sz w:val="28"/>
                <w:szCs w:val="28"/>
              </w:rPr>
              <w:t>45.06</w:t>
            </w:r>
            <w:r>
              <w:rPr>
                <w:rFonts w:hint="eastAsia" w:ascii="宋体" w:hAnsi="宋体" w:eastAsia="宋体" w:cs="宋体"/>
                <w:sz w:val="28"/>
                <w:szCs w:val="28"/>
              </w:rPr>
              <w:t>万元，主要承担市老年教育工作领导小组日常工作，负责组织开展全市“发挥五老优势、进行四项教育”主题活动；负责协调指导涉老组织活动开展。老干局、关工委业务费</w:t>
            </w:r>
            <w:r>
              <w:rPr>
                <w:sz w:val="28"/>
                <w:szCs w:val="28"/>
              </w:rPr>
              <w:t>277.81</w:t>
            </w:r>
            <w:r>
              <w:rPr>
                <w:rFonts w:hint="eastAsia" w:ascii="宋体" w:hAnsi="宋体" w:eastAsia="宋体" w:cs="宋体"/>
                <w:sz w:val="28"/>
                <w:szCs w:val="28"/>
              </w:rPr>
              <w:t>万元，主要用于老干局业务费，关工委办公室日常办公开支、捐资助学、扶植贫困青少年等；离休干部订阅《长沙晚报》经费</w:t>
            </w:r>
            <w:r>
              <w:rPr>
                <w:sz w:val="28"/>
                <w:szCs w:val="28"/>
              </w:rPr>
              <w:t>40.99</w:t>
            </w:r>
            <w:r>
              <w:rPr>
                <w:rFonts w:hint="eastAsia" w:ascii="宋体" w:hAnsi="宋体" w:eastAsia="宋体" w:cs="宋体"/>
                <w:sz w:val="28"/>
                <w:szCs w:val="28"/>
              </w:rPr>
              <w:t>万元，保障全市</w:t>
            </w:r>
            <w:r>
              <w:rPr>
                <w:sz w:val="28"/>
                <w:szCs w:val="28"/>
              </w:rPr>
              <w:t>1050</w:t>
            </w:r>
            <w:r>
              <w:rPr>
                <w:rFonts w:hint="eastAsia" w:ascii="宋体" w:hAnsi="宋体" w:eastAsia="宋体" w:cs="宋体"/>
                <w:sz w:val="28"/>
                <w:szCs w:val="28"/>
              </w:rPr>
              <w:t>名离休干部订阅费；离退休干部党建工作经费</w:t>
            </w:r>
            <w:r>
              <w:rPr>
                <w:sz w:val="28"/>
                <w:szCs w:val="28"/>
              </w:rPr>
              <w:t>54</w:t>
            </w:r>
            <w:r>
              <w:rPr>
                <w:rFonts w:hint="eastAsia" w:ascii="宋体" w:hAnsi="宋体" w:eastAsia="宋体" w:cs="宋体"/>
                <w:sz w:val="28"/>
                <w:szCs w:val="28"/>
              </w:rPr>
              <w:t>万元；特需经费及红军高龄津贴</w:t>
            </w:r>
            <w:r>
              <w:rPr>
                <w:sz w:val="28"/>
                <w:szCs w:val="28"/>
              </w:rPr>
              <w:t>7.39</w:t>
            </w:r>
            <w:r>
              <w:rPr>
                <w:rFonts w:hint="eastAsia" w:ascii="宋体" w:hAnsi="宋体" w:eastAsia="宋体" w:cs="宋体"/>
                <w:sz w:val="28"/>
                <w:szCs w:val="28"/>
              </w:rPr>
              <w:t>万元；离休干部个性化服务</w:t>
            </w:r>
            <w:r>
              <w:rPr>
                <w:sz w:val="28"/>
                <w:szCs w:val="28"/>
              </w:rPr>
              <w:t>34.64</w:t>
            </w:r>
            <w:r>
              <w:rPr>
                <w:rFonts w:hint="eastAsia" w:ascii="宋体" w:hAnsi="宋体" w:eastAsia="宋体" w:cs="宋体"/>
                <w:sz w:val="28"/>
                <w:szCs w:val="28"/>
              </w:rPr>
              <w:t>万元；离休干部春节慰问经费</w:t>
            </w:r>
            <w:r>
              <w:rPr>
                <w:sz w:val="28"/>
                <w:szCs w:val="28"/>
              </w:rPr>
              <w:t>221</w:t>
            </w:r>
            <w:r>
              <w:rPr>
                <w:rFonts w:hint="eastAsia" w:ascii="宋体" w:hAnsi="宋体" w:eastAsia="宋体" w:cs="宋体"/>
                <w:sz w:val="28"/>
                <w:szCs w:val="28"/>
              </w:rPr>
              <w:t>万元；长沙市老干部活动中心基建工程尾款</w:t>
            </w:r>
            <w:r>
              <w:rPr>
                <w:sz w:val="28"/>
                <w:szCs w:val="28"/>
              </w:rPr>
              <w:t>1332.74</w:t>
            </w:r>
            <w:r>
              <w:rPr>
                <w:rFonts w:hint="eastAsia" w:ascii="宋体" w:hAnsi="宋体" w:eastAsia="宋体" w:cs="宋体"/>
                <w:sz w:val="28"/>
                <w:szCs w:val="28"/>
              </w:rPr>
              <w:t>万元；困难企业单位离退休干部节假日慰问经费</w:t>
            </w:r>
            <w:r>
              <w:rPr>
                <w:sz w:val="28"/>
                <w:szCs w:val="28"/>
              </w:rPr>
              <w:t>89.79</w:t>
            </w:r>
            <w:r>
              <w:rPr>
                <w:rFonts w:hint="eastAsia" w:ascii="宋体" w:hAnsi="宋体" w:eastAsia="宋体" w:cs="宋体"/>
                <w:sz w:val="28"/>
                <w:szCs w:val="28"/>
              </w:rPr>
              <w:t>；离休干部相关经费</w:t>
            </w:r>
            <w:r>
              <w:rPr>
                <w:sz w:val="28"/>
                <w:szCs w:val="28"/>
              </w:rPr>
              <w:t>3.53</w:t>
            </w:r>
            <w:r>
              <w:rPr>
                <w:rFonts w:hint="eastAsia" w:ascii="宋体" w:hAnsi="宋体" w:eastAsia="宋体" w:cs="宋体"/>
                <w:sz w:val="28"/>
                <w:szCs w:val="28"/>
              </w:rPr>
              <w:t>；市直机关干部子女统筹医药费</w:t>
            </w:r>
            <w:r>
              <w:rPr>
                <w:sz w:val="28"/>
                <w:szCs w:val="28"/>
              </w:rPr>
              <w:t>1.23</w:t>
            </w:r>
            <w:r>
              <w:rPr>
                <w:rFonts w:hint="eastAsia" w:ascii="宋体" w:hAnsi="宋体" w:eastAsia="宋体" w:cs="宋体"/>
                <w:sz w:val="28"/>
                <w:szCs w:val="28"/>
              </w:rPr>
              <w:t>万元；离休干部个性化服务</w:t>
            </w:r>
            <w:r>
              <w:rPr>
                <w:sz w:val="28"/>
                <w:szCs w:val="28"/>
              </w:rPr>
              <w:t>34.64</w:t>
            </w:r>
            <w:r>
              <w:rPr>
                <w:rFonts w:hint="eastAsia" w:ascii="宋体" w:hAnsi="宋体" w:eastAsia="宋体" w:cs="宋体"/>
                <w:sz w:val="28"/>
                <w:szCs w:val="28"/>
              </w:rPr>
              <w:t>万元。</w:t>
            </w:r>
          </w:p>
          <w:p w14:paraId="415840A0">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rPr>
                <w:sz w:val="19"/>
                <w:szCs w:val="19"/>
              </w:rPr>
            </w:pPr>
            <w:r>
              <w:rPr>
                <w:sz w:val="28"/>
                <w:szCs w:val="28"/>
              </w:rPr>
              <w:t>3</w:t>
            </w:r>
            <w:r>
              <w:rPr>
                <w:rFonts w:hint="eastAsia" w:ascii="宋体" w:hAnsi="宋体" w:eastAsia="宋体" w:cs="宋体"/>
                <w:sz w:val="28"/>
                <w:szCs w:val="28"/>
              </w:rPr>
              <w:t>、项目支出</w:t>
            </w:r>
            <w:r>
              <w:rPr>
                <w:sz w:val="28"/>
                <w:szCs w:val="28"/>
              </w:rPr>
              <w:t>2487.13</w:t>
            </w:r>
            <w:r>
              <w:rPr>
                <w:rFonts w:hint="eastAsia" w:ascii="宋体" w:hAnsi="宋体" w:eastAsia="宋体" w:cs="宋体"/>
                <w:sz w:val="28"/>
                <w:szCs w:val="28"/>
              </w:rPr>
              <w:t>万元，比上年增加</w:t>
            </w:r>
            <w:r>
              <w:rPr>
                <w:sz w:val="28"/>
                <w:szCs w:val="28"/>
              </w:rPr>
              <w:t>1792.76</w:t>
            </w:r>
            <w:r>
              <w:rPr>
                <w:rFonts w:hint="eastAsia" w:ascii="宋体" w:hAnsi="宋体" w:eastAsia="宋体" w:cs="宋体"/>
                <w:sz w:val="28"/>
                <w:szCs w:val="28"/>
              </w:rPr>
              <w:t>万元，增长</w:t>
            </w:r>
            <w:r>
              <w:rPr>
                <w:sz w:val="28"/>
                <w:szCs w:val="28"/>
              </w:rPr>
              <w:t>258.19%</w:t>
            </w:r>
            <w:r>
              <w:rPr>
                <w:rFonts w:hint="eastAsia" w:ascii="宋体" w:hAnsi="宋体" w:eastAsia="宋体" w:cs="宋体"/>
                <w:sz w:val="28"/>
                <w:szCs w:val="28"/>
              </w:rPr>
              <w:t>；变化的主要原因：长沙市老干部活动中心基建工程尾款的清付 项目经费组成：各类老年协会项目经费</w:t>
            </w:r>
            <w:r>
              <w:rPr>
                <w:sz w:val="28"/>
                <w:szCs w:val="28"/>
              </w:rPr>
              <w:t>128.25</w:t>
            </w:r>
            <w:r>
              <w:rPr>
                <w:rFonts w:hint="eastAsia" w:ascii="宋体" w:hAnsi="宋体" w:eastAsia="宋体" w:cs="宋体"/>
                <w:sz w:val="28"/>
                <w:szCs w:val="28"/>
              </w:rPr>
              <w:t>万元，属于我局所服务的副市级实职退休老领导及离休干部，在退休后发挥余热，组织老同志成立的兴趣协会，其经费由诗词协会、书画协会、钓鱼协会、老年保健协会自行调配，用于活动开支；五老四教主题活动经费</w:t>
            </w:r>
            <w:r>
              <w:rPr>
                <w:sz w:val="28"/>
                <w:szCs w:val="28"/>
              </w:rPr>
              <w:t>45.06</w:t>
            </w:r>
            <w:r>
              <w:rPr>
                <w:rFonts w:hint="eastAsia" w:ascii="宋体" w:hAnsi="宋体" w:eastAsia="宋体" w:cs="宋体"/>
                <w:sz w:val="28"/>
                <w:szCs w:val="28"/>
              </w:rPr>
              <w:t>万元，主要承担市老年教育工作领导小组日常工作，负责组织开展全市“发挥五老优势、进行四项教育”主题活动；负责协调指导涉老组织活动开展。老干局、关工委业务费</w:t>
            </w:r>
            <w:r>
              <w:rPr>
                <w:sz w:val="28"/>
                <w:szCs w:val="28"/>
              </w:rPr>
              <w:t>277.81</w:t>
            </w:r>
            <w:r>
              <w:rPr>
                <w:rFonts w:hint="eastAsia" w:ascii="宋体" w:hAnsi="宋体" w:eastAsia="宋体" w:cs="宋体"/>
                <w:sz w:val="28"/>
                <w:szCs w:val="28"/>
              </w:rPr>
              <w:t>万元，主要用于老干局业务费，关工委办公室日常办公开支、捐资助学、扶植贫困青少年等；离休干部订阅《长沙晚报》经费</w:t>
            </w:r>
            <w:r>
              <w:rPr>
                <w:sz w:val="28"/>
                <w:szCs w:val="28"/>
              </w:rPr>
              <w:t>40.99</w:t>
            </w:r>
            <w:r>
              <w:rPr>
                <w:rFonts w:hint="eastAsia" w:ascii="宋体" w:hAnsi="宋体" w:eastAsia="宋体" w:cs="宋体"/>
                <w:sz w:val="28"/>
                <w:szCs w:val="28"/>
              </w:rPr>
              <w:t>万元，保障全市</w:t>
            </w:r>
            <w:r>
              <w:rPr>
                <w:sz w:val="28"/>
                <w:szCs w:val="28"/>
              </w:rPr>
              <w:t>1050</w:t>
            </w:r>
            <w:r>
              <w:rPr>
                <w:rFonts w:hint="eastAsia" w:ascii="宋体" w:hAnsi="宋体" w:eastAsia="宋体" w:cs="宋体"/>
                <w:sz w:val="28"/>
                <w:szCs w:val="28"/>
              </w:rPr>
              <w:t>名离休干部订阅费；离退休干部党建工作经费</w:t>
            </w:r>
            <w:r>
              <w:rPr>
                <w:sz w:val="28"/>
                <w:szCs w:val="28"/>
              </w:rPr>
              <w:t>54</w:t>
            </w:r>
            <w:r>
              <w:rPr>
                <w:rFonts w:hint="eastAsia" w:ascii="宋体" w:hAnsi="宋体" w:eastAsia="宋体" w:cs="宋体"/>
                <w:sz w:val="28"/>
                <w:szCs w:val="28"/>
              </w:rPr>
              <w:t>万元；特需经费及红军高龄津贴</w:t>
            </w:r>
            <w:r>
              <w:rPr>
                <w:sz w:val="28"/>
                <w:szCs w:val="28"/>
              </w:rPr>
              <w:t>7.39</w:t>
            </w:r>
            <w:r>
              <w:rPr>
                <w:rFonts w:hint="eastAsia" w:ascii="宋体" w:hAnsi="宋体" w:eastAsia="宋体" w:cs="宋体"/>
                <w:sz w:val="28"/>
                <w:szCs w:val="28"/>
              </w:rPr>
              <w:t>万元；离休干部个性化服务</w:t>
            </w:r>
            <w:r>
              <w:rPr>
                <w:sz w:val="28"/>
                <w:szCs w:val="28"/>
              </w:rPr>
              <w:t>34.64</w:t>
            </w:r>
            <w:r>
              <w:rPr>
                <w:rFonts w:hint="eastAsia" w:ascii="宋体" w:hAnsi="宋体" w:eastAsia="宋体" w:cs="宋体"/>
                <w:sz w:val="28"/>
                <w:szCs w:val="28"/>
              </w:rPr>
              <w:t>万元；离休干部春节慰问经费</w:t>
            </w:r>
            <w:r>
              <w:rPr>
                <w:sz w:val="28"/>
                <w:szCs w:val="28"/>
              </w:rPr>
              <w:t>221</w:t>
            </w:r>
            <w:r>
              <w:rPr>
                <w:rFonts w:hint="eastAsia" w:ascii="宋体" w:hAnsi="宋体" w:eastAsia="宋体" w:cs="宋体"/>
                <w:sz w:val="28"/>
                <w:szCs w:val="28"/>
              </w:rPr>
              <w:t>万元；长沙市老干部活动中心基建工程尾款</w:t>
            </w:r>
            <w:r>
              <w:rPr>
                <w:sz w:val="28"/>
                <w:szCs w:val="28"/>
              </w:rPr>
              <w:t>1332.74</w:t>
            </w:r>
            <w:r>
              <w:rPr>
                <w:rFonts w:hint="eastAsia" w:ascii="宋体" w:hAnsi="宋体" w:eastAsia="宋体" w:cs="宋体"/>
                <w:sz w:val="28"/>
                <w:szCs w:val="28"/>
              </w:rPr>
              <w:t>万元；困难企业单位离退休干部节假日慰问经费</w:t>
            </w:r>
            <w:r>
              <w:rPr>
                <w:sz w:val="28"/>
                <w:szCs w:val="28"/>
              </w:rPr>
              <w:t>89.79</w:t>
            </w:r>
            <w:r>
              <w:rPr>
                <w:rFonts w:hint="eastAsia" w:ascii="宋体" w:hAnsi="宋体" w:eastAsia="宋体" w:cs="宋体"/>
                <w:sz w:val="28"/>
                <w:szCs w:val="28"/>
              </w:rPr>
              <w:t>；离休干部相关经费</w:t>
            </w:r>
            <w:r>
              <w:rPr>
                <w:sz w:val="28"/>
                <w:szCs w:val="28"/>
              </w:rPr>
              <w:t>3.53</w:t>
            </w:r>
            <w:r>
              <w:rPr>
                <w:rFonts w:hint="eastAsia" w:ascii="宋体" w:hAnsi="宋体" w:eastAsia="宋体" w:cs="宋体"/>
                <w:sz w:val="28"/>
                <w:szCs w:val="28"/>
              </w:rPr>
              <w:t>；市直机关干部子女统筹医药费</w:t>
            </w:r>
            <w:r>
              <w:rPr>
                <w:sz w:val="28"/>
                <w:szCs w:val="28"/>
              </w:rPr>
              <w:t>1.23</w:t>
            </w:r>
            <w:r>
              <w:rPr>
                <w:rFonts w:hint="eastAsia" w:ascii="宋体" w:hAnsi="宋体" w:eastAsia="宋体" w:cs="宋体"/>
                <w:sz w:val="28"/>
                <w:szCs w:val="28"/>
              </w:rPr>
              <w:t>万元；离休干部个性化服务</w:t>
            </w:r>
            <w:r>
              <w:rPr>
                <w:sz w:val="28"/>
                <w:szCs w:val="28"/>
              </w:rPr>
              <w:t>34.64</w:t>
            </w:r>
            <w:r>
              <w:rPr>
                <w:rFonts w:hint="eastAsia" w:ascii="宋体" w:hAnsi="宋体" w:eastAsia="宋体" w:cs="宋体"/>
                <w:sz w:val="28"/>
                <w:szCs w:val="28"/>
              </w:rPr>
              <w:t>万元。</w:t>
            </w:r>
          </w:p>
          <w:p w14:paraId="587B8B35">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rPr>
                <w:sz w:val="19"/>
                <w:szCs w:val="19"/>
              </w:rPr>
            </w:pPr>
            <w:r>
              <w:rPr>
                <w:sz w:val="28"/>
                <w:szCs w:val="28"/>
              </w:rPr>
              <w:t>4</w:t>
            </w:r>
            <w:r>
              <w:rPr>
                <w:rFonts w:hint="eastAsia" w:ascii="宋体" w:hAnsi="宋体" w:eastAsia="宋体" w:cs="宋体"/>
                <w:sz w:val="28"/>
                <w:szCs w:val="28"/>
              </w:rPr>
              <w:t>、局机关财务管理制度执行。具体实施细则：</w:t>
            </w:r>
            <w:r>
              <w:rPr>
                <w:sz w:val="28"/>
                <w:szCs w:val="28"/>
              </w:rPr>
              <w:t>1</w:t>
            </w:r>
            <w:r>
              <w:rPr>
                <w:rFonts w:hint="eastAsia" w:ascii="宋体" w:hAnsi="宋体" w:eastAsia="宋体" w:cs="宋体"/>
                <w:sz w:val="28"/>
                <w:szCs w:val="28"/>
              </w:rPr>
              <w:t>、报账必须取得合理、合法、真实、有效的原始凭证，禁止使用不符合会计制度规定的“白纸条”，发票内容必须真实、合法，完整、手续完备、内容齐全，财务人员如发现有疑问的地方应查询清楚，对不符合规定的凭证和开支不予报销。</w:t>
            </w:r>
            <w:r>
              <w:rPr>
                <w:sz w:val="28"/>
                <w:szCs w:val="28"/>
              </w:rPr>
              <w:t>2</w:t>
            </w:r>
            <w:r>
              <w:rPr>
                <w:rFonts w:hint="eastAsia" w:ascii="宋体" w:hAnsi="宋体" w:eastAsia="宋体" w:cs="宋体"/>
                <w:sz w:val="28"/>
                <w:szCs w:val="28"/>
              </w:rPr>
              <w:t>、严格控制现金支出。对外结算，必须以转账支付，特殊情况需事先报告局领导同意后方可现金支付。</w:t>
            </w:r>
            <w:r>
              <w:rPr>
                <w:sz w:val="28"/>
                <w:szCs w:val="28"/>
              </w:rPr>
              <w:t>3</w:t>
            </w:r>
            <w:r>
              <w:rPr>
                <w:rFonts w:hint="eastAsia" w:ascii="宋体" w:hAnsi="宋体" w:eastAsia="宋体" w:cs="宋体"/>
                <w:sz w:val="28"/>
                <w:szCs w:val="28"/>
              </w:rPr>
              <w:t>、报销支付到个人账户的开支，必须附与发票金额一致的公务卡刷卡记录凭证，否则不予报销。</w:t>
            </w:r>
            <w:r>
              <w:rPr>
                <w:sz w:val="28"/>
                <w:szCs w:val="28"/>
              </w:rPr>
              <w:t>4</w:t>
            </w:r>
            <w:r>
              <w:rPr>
                <w:rFonts w:hint="eastAsia" w:ascii="宋体" w:hAnsi="宋体" w:eastAsia="宋体" w:cs="宋体"/>
                <w:sz w:val="28"/>
                <w:szCs w:val="28"/>
              </w:rPr>
              <w:t>、加强差旅费管理。对出差人员应定任务、定人数、定时间、定地点，出差回来后限</w:t>
            </w:r>
            <w:r>
              <w:rPr>
                <w:sz w:val="28"/>
                <w:szCs w:val="28"/>
              </w:rPr>
              <w:t>5</w:t>
            </w:r>
            <w:r>
              <w:rPr>
                <w:rFonts w:hint="eastAsia" w:ascii="宋体" w:hAnsi="宋体" w:eastAsia="宋体" w:cs="宋体"/>
                <w:sz w:val="28"/>
                <w:szCs w:val="28"/>
              </w:rPr>
              <w:t>天内结账。差旅费报销执行长财［</w:t>
            </w:r>
            <w:r>
              <w:rPr>
                <w:sz w:val="28"/>
                <w:szCs w:val="28"/>
              </w:rPr>
              <w:t>2014</w:t>
            </w:r>
            <w:r>
              <w:rPr>
                <w:rFonts w:hint="eastAsia" w:ascii="宋体" w:hAnsi="宋体" w:eastAsia="宋体" w:cs="宋体"/>
                <w:sz w:val="28"/>
                <w:szCs w:val="28"/>
              </w:rPr>
              <w:t>］</w:t>
            </w:r>
            <w:r>
              <w:rPr>
                <w:sz w:val="28"/>
                <w:szCs w:val="28"/>
              </w:rPr>
              <w:t>54</w:t>
            </w:r>
            <w:r>
              <w:rPr>
                <w:rFonts w:hint="eastAsia" w:ascii="宋体" w:hAnsi="宋体" w:eastAsia="宋体" w:cs="宋体"/>
                <w:sz w:val="28"/>
                <w:szCs w:val="28"/>
              </w:rPr>
              <w:t>号《长沙市市直机关差旅费管理办法》。交通工具限火车硬席、高铁</w:t>
            </w:r>
            <w:r>
              <w:rPr>
                <w:sz w:val="28"/>
                <w:szCs w:val="28"/>
              </w:rPr>
              <w:t>/</w:t>
            </w:r>
            <w:r>
              <w:rPr>
                <w:rFonts w:hint="eastAsia" w:ascii="宋体" w:hAnsi="宋体" w:eastAsia="宋体" w:cs="宋体"/>
                <w:sz w:val="28"/>
                <w:szCs w:val="28"/>
              </w:rPr>
              <w:t>动车二等座、轮船三等舱、飞机经济舱。市内交通费每人每天</w:t>
            </w:r>
            <w:r>
              <w:rPr>
                <w:sz w:val="28"/>
                <w:szCs w:val="28"/>
              </w:rPr>
              <w:t>80</w:t>
            </w:r>
            <w:r>
              <w:rPr>
                <w:rFonts w:hint="eastAsia" w:ascii="宋体" w:hAnsi="宋体" w:eastAsia="宋体" w:cs="宋体"/>
                <w:sz w:val="28"/>
                <w:szCs w:val="28"/>
              </w:rPr>
              <w:t>元标准，出差人员自带交通工具的，不予补助市内交通费。省内住宿费不得超过每人每天</w:t>
            </w:r>
            <w:r>
              <w:rPr>
                <w:sz w:val="28"/>
                <w:szCs w:val="28"/>
              </w:rPr>
              <w:t>330</w:t>
            </w:r>
            <w:r>
              <w:rPr>
                <w:rFonts w:hint="eastAsia" w:ascii="宋体" w:hAnsi="宋体" w:eastAsia="宋体" w:cs="宋体"/>
                <w:sz w:val="28"/>
                <w:szCs w:val="28"/>
              </w:rPr>
              <w:t>元标准，省内伙食补助每人每天</w:t>
            </w:r>
            <w:r>
              <w:rPr>
                <w:sz w:val="28"/>
                <w:szCs w:val="28"/>
              </w:rPr>
              <w:t>100</w:t>
            </w:r>
            <w:r>
              <w:rPr>
                <w:rFonts w:hint="eastAsia" w:ascii="宋体" w:hAnsi="宋体" w:eastAsia="宋体" w:cs="宋体"/>
                <w:sz w:val="28"/>
                <w:szCs w:val="28"/>
              </w:rPr>
              <w:t>元标准，省外出差，执行财政部公布的分地区、分级别住宿费、伙食补助费限额标准。除伙食补助费和市内交通费按规定标准包干补助外，其他差旅费在限额标准内凭发票据实报销，超支部分由个人自理。</w:t>
            </w:r>
            <w:r>
              <w:rPr>
                <w:sz w:val="28"/>
                <w:szCs w:val="28"/>
              </w:rPr>
              <w:t>5</w:t>
            </w:r>
            <w:r>
              <w:rPr>
                <w:rFonts w:hint="eastAsia" w:ascii="宋体" w:hAnsi="宋体" w:eastAsia="宋体" w:cs="宋体"/>
                <w:sz w:val="28"/>
                <w:szCs w:val="28"/>
              </w:rPr>
              <w:t>、加强招待费管理。公务接待工作应当坚持有利公务、务实节俭、严格标准，从严从紧控制公务接待经费，不得擅自突破。厅级干部每人每天</w:t>
            </w:r>
            <w:r>
              <w:rPr>
                <w:sz w:val="28"/>
                <w:szCs w:val="28"/>
              </w:rPr>
              <w:t>120</w:t>
            </w:r>
            <w:r>
              <w:rPr>
                <w:rFonts w:hint="eastAsia" w:ascii="宋体" w:hAnsi="宋体" w:eastAsia="宋体" w:cs="宋体"/>
                <w:sz w:val="28"/>
                <w:szCs w:val="28"/>
              </w:rPr>
              <w:t>元、处级干部每人每天</w:t>
            </w:r>
            <w:r>
              <w:rPr>
                <w:sz w:val="28"/>
                <w:szCs w:val="28"/>
              </w:rPr>
              <w:t>100</w:t>
            </w:r>
            <w:r>
              <w:rPr>
                <w:rFonts w:hint="eastAsia" w:ascii="宋体" w:hAnsi="宋体" w:eastAsia="宋体" w:cs="宋体"/>
                <w:sz w:val="28"/>
                <w:szCs w:val="28"/>
              </w:rPr>
              <w:t>元、其他人员每人每天</w:t>
            </w:r>
            <w:r>
              <w:rPr>
                <w:sz w:val="28"/>
                <w:szCs w:val="28"/>
              </w:rPr>
              <w:t>80</w:t>
            </w:r>
            <w:r>
              <w:rPr>
                <w:rFonts w:hint="eastAsia" w:ascii="宋体" w:hAnsi="宋体" w:eastAsia="宋体" w:cs="宋体"/>
                <w:sz w:val="28"/>
                <w:szCs w:val="28"/>
              </w:rPr>
              <w:t>元。接待对象在</w:t>
            </w:r>
            <w:r>
              <w:rPr>
                <w:sz w:val="28"/>
                <w:szCs w:val="28"/>
              </w:rPr>
              <w:t>10</w:t>
            </w:r>
            <w:r>
              <w:rPr>
                <w:rFonts w:hint="eastAsia" w:ascii="宋体" w:hAnsi="宋体" w:eastAsia="宋体" w:cs="宋体"/>
                <w:sz w:val="28"/>
                <w:szCs w:val="28"/>
              </w:rPr>
              <w:t>人以内的，陪餐人数不得超过</w:t>
            </w:r>
            <w:r>
              <w:rPr>
                <w:sz w:val="28"/>
                <w:szCs w:val="28"/>
              </w:rPr>
              <w:t>3</w:t>
            </w:r>
            <w:r>
              <w:rPr>
                <w:rFonts w:hint="eastAsia" w:ascii="宋体" w:hAnsi="宋体" w:eastAsia="宋体" w:cs="宋体"/>
                <w:sz w:val="28"/>
                <w:szCs w:val="28"/>
              </w:rPr>
              <w:t>人，</w:t>
            </w:r>
            <w:r>
              <w:rPr>
                <w:sz w:val="28"/>
                <w:szCs w:val="28"/>
              </w:rPr>
              <w:t>10</w:t>
            </w:r>
            <w:r>
              <w:rPr>
                <w:rFonts w:hint="eastAsia" w:ascii="宋体" w:hAnsi="宋体" w:eastAsia="宋体" w:cs="宋体"/>
                <w:sz w:val="28"/>
                <w:szCs w:val="28"/>
              </w:rPr>
              <w:t>人以上的，不得超过接待对象人数的三分之一。确因工作需要的加班人员用餐，须填写加班人员用餐申报单，经办公室审核，报分管财务的局领导审批后方可报销，用餐标准为</w:t>
            </w:r>
            <w:r>
              <w:rPr>
                <w:sz w:val="28"/>
                <w:szCs w:val="28"/>
              </w:rPr>
              <w:t>40</w:t>
            </w:r>
            <w:r>
              <w:rPr>
                <w:rFonts w:hint="eastAsia" w:ascii="宋体" w:hAnsi="宋体" w:eastAsia="宋体" w:cs="宋体"/>
                <w:sz w:val="28"/>
                <w:szCs w:val="28"/>
              </w:rPr>
              <w:t>元</w:t>
            </w:r>
            <w:r>
              <w:rPr>
                <w:sz w:val="28"/>
                <w:szCs w:val="28"/>
              </w:rPr>
              <w:t>/</w:t>
            </w:r>
            <w:r>
              <w:rPr>
                <w:rFonts w:hint="eastAsia" w:ascii="宋体" w:hAnsi="宋体" w:eastAsia="宋体" w:cs="宋体"/>
                <w:sz w:val="28"/>
                <w:szCs w:val="28"/>
              </w:rPr>
              <w:t>人，超出费用自理。</w:t>
            </w:r>
            <w:r>
              <w:rPr>
                <w:sz w:val="28"/>
                <w:szCs w:val="28"/>
              </w:rPr>
              <w:t>6</w:t>
            </w:r>
            <w:r>
              <w:rPr>
                <w:rFonts w:hint="eastAsia" w:ascii="宋体" w:hAnsi="宋体" w:eastAsia="宋体" w:cs="宋体"/>
                <w:sz w:val="28"/>
                <w:szCs w:val="28"/>
              </w:rPr>
              <w:t>、要进一步加强公务用车日常使用管理，局机关车辆由办公室负责管理，二级机构由各单位办公室负责管理，单位主要负责人为车辆管理第一责任人。公车必须严格执行回单位停放制度，集中管理，统一调派。根据局务会要求，车辆日常需在指定位置停放，（见附表）重大节假日局机关所有公车必须停放在二办公楼指定停车场，二级机构停放在本单位指定停车位置。节假日期间除特殊工作需要外，所有公车应当封存停驶，不得使用，严禁分散管理使用，减少空驶，提高使用效率，避免浪费。严格执行公车定点维修、定点加油和定点保险的有关规定，要健全公务用车使用登记制度，严格执行维修申报制度，凡发现违规行为的，由局纪检部门追究有关当事人的责任。 三、资产管理情况</w:t>
            </w:r>
            <w:r>
              <w:rPr>
                <w:sz w:val="28"/>
                <w:szCs w:val="28"/>
              </w:rPr>
              <w:t>1</w:t>
            </w:r>
            <w:r>
              <w:rPr>
                <w:rFonts w:hint="eastAsia" w:ascii="宋体" w:hAnsi="宋体" w:eastAsia="宋体" w:cs="宋体"/>
                <w:sz w:val="28"/>
                <w:szCs w:val="28"/>
              </w:rPr>
              <w:t>、局机关办公室职责：制定机关资产规范管理的暂行办法；所有资产统一归口中心办公室汇总管理，组织并监督各科室按规定管理好科室资产，及时登记按时维护做好保管工作；年底组织所有科室进行局机关所有资产的盘点盘底工作。</w:t>
            </w:r>
            <w:r>
              <w:rPr>
                <w:sz w:val="28"/>
                <w:szCs w:val="28"/>
              </w:rPr>
              <w:t>2</w:t>
            </w:r>
            <w:r>
              <w:rPr>
                <w:rFonts w:hint="eastAsia" w:ascii="宋体" w:hAnsi="宋体" w:eastAsia="宋体" w:cs="宋体"/>
                <w:sz w:val="28"/>
                <w:szCs w:val="28"/>
              </w:rPr>
              <w:t>、局机关及设备负责人职责：负责人负责所有资产的登记及保管工作；如有变动，月底将变动情况交付给科室负责人，负责人核对数量、汇总同类资产数量及填写存放地点，及时盘点登记入账；负责人负责保管所有资产，如有借出、丢失或损坏等，及时登记资产出入情况并写明理由；科室负责人负责监督和复核。</w:t>
            </w:r>
            <w:r>
              <w:rPr>
                <w:sz w:val="28"/>
                <w:szCs w:val="28"/>
              </w:rPr>
              <w:t>3</w:t>
            </w:r>
            <w:r>
              <w:rPr>
                <w:rFonts w:hint="eastAsia" w:ascii="宋体" w:hAnsi="宋体" w:eastAsia="宋体" w:cs="宋体"/>
                <w:sz w:val="28"/>
                <w:szCs w:val="28"/>
              </w:rPr>
              <w:t>、局机关财务职责：财务负责政府采购固定资产的相关工作；财务负责每月登记录入财政资产管理平台，上交资产月表、年度资产决算表，建立好政府采购文件档案。 内容必须真实、合法，完整、手续完备、内容齐全，财务人员如发现有疑问的地方应查询清楚，对不符合规定的凭证和开支不予报销。</w:t>
            </w:r>
            <w:r>
              <w:rPr>
                <w:sz w:val="28"/>
                <w:szCs w:val="28"/>
              </w:rPr>
              <w:t>2</w:t>
            </w:r>
            <w:r>
              <w:rPr>
                <w:rFonts w:hint="eastAsia" w:ascii="宋体" w:hAnsi="宋体" w:eastAsia="宋体" w:cs="宋体"/>
                <w:sz w:val="28"/>
                <w:szCs w:val="28"/>
              </w:rPr>
              <w:t>、严格控制现金支出。对外结算，必须以转账支付，特殊情况需事先报告局领导同意后方可现金支付。</w:t>
            </w:r>
            <w:r>
              <w:rPr>
                <w:sz w:val="28"/>
                <w:szCs w:val="28"/>
              </w:rPr>
              <w:t>3</w:t>
            </w:r>
            <w:r>
              <w:rPr>
                <w:rFonts w:hint="eastAsia" w:ascii="宋体" w:hAnsi="宋体" w:eastAsia="宋体" w:cs="宋体"/>
                <w:sz w:val="28"/>
                <w:szCs w:val="28"/>
              </w:rPr>
              <w:t>、报销支付到个人账户的开支，必须附与发票金额一致的公务卡刷卡记录凭证，否则不予报销。</w:t>
            </w:r>
            <w:r>
              <w:rPr>
                <w:sz w:val="28"/>
                <w:szCs w:val="28"/>
              </w:rPr>
              <w:t>4</w:t>
            </w:r>
            <w:r>
              <w:rPr>
                <w:rFonts w:hint="eastAsia" w:ascii="宋体" w:hAnsi="宋体" w:eastAsia="宋体" w:cs="宋体"/>
                <w:sz w:val="28"/>
                <w:szCs w:val="28"/>
              </w:rPr>
              <w:t>、加强差旅费管理。对出差人员应定任务、定人数、定时间、定地点，出差回来后限</w:t>
            </w:r>
            <w:r>
              <w:rPr>
                <w:sz w:val="28"/>
                <w:szCs w:val="28"/>
              </w:rPr>
              <w:t>5</w:t>
            </w:r>
            <w:r>
              <w:rPr>
                <w:rFonts w:hint="eastAsia" w:ascii="宋体" w:hAnsi="宋体" w:eastAsia="宋体" w:cs="宋体"/>
                <w:sz w:val="28"/>
                <w:szCs w:val="28"/>
              </w:rPr>
              <w:t>天内结账。差旅费报销执行长财［</w:t>
            </w:r>
            <w:r>
              <w:rPr>
                <w:sz w:val="28"/>
                <w:szCs w:val="28"/>
              </w:rPr>
              <w:t>2014</w:t>
            </w:r>
            <w:r>
              <w:rPr>
                <w:rFonts w:hint="eastAsia" w:ascii="宋体" w:hAnsi="宋体" w:eastAsia="宋体" w:cs="宋体"/>
                <w:sz w:val="28"/>
                <w:szCs w:val="28"/>
              </w:rPr>
              <w:t>］</w:t>
            </w:r>
            <w:r>
              <w:rPr>
                <w:sz w:val="28"/>
                <w:szCs w:val="28"/>
              </w:rPr>
              <w:t>54</w:t>
            </w:r>
            <w:r>
              <w:rPr>
                <w:rFonts w:hint="eastAsia" w:ascii="宋体" w:hAnsi="宋体" w:eastAsia="宋体" w:cs="宋体"/>
                <w:sz w:val="28"/>
                <w:szCs w:val="28"/>
              </w:rPr>
              <w:t>号《长沙市市直机关差旅费管理办法》。交通工具限火车硬席、高铁</w:t>
            </w:r>
            <w:r>
              <w:rPr>
                <w:sz w:val="28"/>
                <w:szCs w:val="28"/>
              </w:rPr>
              <w:t>/</w:t>
            </w:r>
            <w:r>
              <w:rPr>
                <w:rFonts w:hint="eastAsia" w:ascii="宋体" w:hAnsi="宋体" w:eastAsia="宋体" w:cs="宋体"/>
                <w:sz w:val="28"/>
                <w:szCs w:val="28"/>
              </w:rPr>
              <w:t>动车二等座、轮船三等舱、飞机经济舱。市内交通费每人每天</w:t>
            </w:r>
            <w:r>
              <w:rPr>
                <w:sz w:val="28"/>
                <w:szCs w:val="28"/>
              </w:rPr>
              <w:t>80</w:t>
            </w:r>
            <w:r>
              <w:rPr>
                <w:rFonts w:hint="eastAsia" w:ascii="宋体" w:hAnsi="宋体" w:eastAsia="宋体" w:cs="宋体"/>
                <w:sz w:val="28"/>
                <w:szCs w:val="28"/>
              </w:rPr>
              <w:t>元标准，出差人员自带交通工具的，不予补助市内交通费。省内住宿费不得超过每人每天</w:t>
            </w:r>
            <w:r>
              <w:rPr>
                <w:sz w:val="28"/>
                <w:szCs w:val="28"/>
              </w:rPr>
              <w:t>330</w:t>
            </w:r>
            <w:r>
              <w:rPr>
                <w:rFonts w:hint="eastAsia" w:ascii="宋体" w:hAnsi="宋体" w:eastAsia="宋体" w:cs="宋体"/>
                <w:sz w:val="28"/>
                <w:szCs w:val="28"/>
              </w:rPr>
              <w:t>元标准，省内伙食补助每人每天</w:t>
            </w:r>
            <w:r>
              <w:rPr>
                <w:sz w:val="28"/>
                <w:szCs w:val="28"/>
              </w:rPr>
              <w:t>100</w:t>
            </w:r>
            <w:r>
              <w:rPr>
                <w:rFonts w:hint="eastAsia" w:ascii="宋体" w:hAnsi="宋体" w:eastAsia="宋体" w:cs="宋体"/>
                <w:sz w:val="28"/>
                <w:szCs w:val="28"/>
              </w:rPr>
              <w:t>元标准，省外出差，执行财政部公布的分地区、分级别住宿费、伙食补助费限额标准。除伙食补助费和市内交通费按规定标准包干补助外，其他差旅费在限额标准内凭发票据实报销，超支部分由个人自理。</w:t>
            </w:r>
            <w:r>
              <w:rPr>
                <w:sz w:val="28"/>
                <w:szCs w:val="28"/>
              </w:rPr>
              <w:t>5</w:t>
            </w:r>
            <w:r>
              <w:rPr>
                <w:rFonts w:hint="eastAsia" w:ascii="宋体" w:hAnsi="宋体" w:eastAsia="宋体" w:cs="宋体"/>
                <w:sz w:val="28"/>
                <w:szCs w:val="28"/>
              </w:rPr>
              <w:t>、加强招待费管理。公务接待工作应当坚持有利公务、务实节俭、严格标准，从严从紧控制公务接待经费，不得擅自突破。厅级干部每人每天</w:t>
            </w:r>
            <w:r>
              <w:rPr>
                <w:sz w:val="28"/>
                <w:szCs w:val="28"/>
              </w:rPr>
              <w:t>120</w:t>
            </w:r>
            <w:r>
              <w:rPr>
                <w:rFonts w:hint="eastAsia" w:ascii="宋体" w:hAnsi="宋体" w:eastAsia="宋体" w:cs="宋体"/>
                <w:sz w:val="28"/>
                <w:szCs w:val="28"/>
              </w:rPr>
              <w:t>元、处级干部每人每天</w:t>
            </w:r>
            <w:r>
              <w:rPr>
                <w:sz w:val="28"/>
                <w:szCs w:val="28"/>
              </w:rPr>
              <w:t>100</w:t>
            </w:r>
            <w:r>
              <w:rPr>
                <w:rFonts w:hint="eastAsia" w:ascii="宋体" w:hAnsi="宋体" w:eastAsia="宋体" w:cs="宋体"/>
                <w:sz w:val="28"/>
                <w:szCs w:val="28"/>
              </w:rPr>
              <w:t>元、其他人员每人每天</w:t>
            </w:r>
            <w:r>
              <w:rPr>
                <w:sz w:val="28"/>
                <w:szCs w:val="28"/>
              </w:rPr>
              <w:t>80</w:t>
            </w:r>
            <w:r>
              <w:rPr>
                <w:rFonts w:hint="eastAsia" w:ascii="宋体" w:hAnsi="宋体" w:eastAsia="宋体" w:cs="宋体"/>
                <w:sz w:val="28"/>
                <w:szCs w:val="28"/>
              </w:rPr>
              <w:t>元。接待对象在</w:t>
            </w:r>
            <w:r>
              <w:rPr>
                <w:sz w:val="28"/>
                <w:szCs w:val="28"/>
              </w:rPr>
              <w:t>10</w:t>
            </w:r>
            <w:r>
              <w:rPr>
                <w:rFonts w:hint="eastAsia" w:ascii="宋体" w:hAnsi="宋体" w:eastAsia="宋体" w:cs="宋体"/>
                <w:sz w:val="28"/>
                <w:szCs w:val="28"/>
              </w:rPr>
              <w:t>人以内的，陪餐人数不得超过</w:t>
            </w:r>
            <w:r>
              <w:rPr>
                <w:sz w:val="28"/>
                <w:szCs w:val="28"/>
              </w:rPr>
              <w:t>3</w:t>
            </w:r>
            <w:r>
              <w:rPr>
                <w:rFonts w:hint="eastAsia" w:ascii="宋体" w:hAnsi="宋体" w:eastAsia="宋体" w:cs="宋体"/>
                <w:sz w:val="28"/>
                <w:szCs w:val="28"/>
              </w:rPr>
              <w:t>人，</w:t>
            </w:r>
            <w:r>
              <w:rPr>
                <w:sz w:val="28"/>
                <w:szCs w:val="28"/>
              </w:rPr>
              <w:t>10</w:t>
            </w:r>
            <w:r>
              <w:rPr>
                <w:rFonts w:hint="eastAsia" w:ascii="宋体" w:hAnsi="宋体" w:eastAsia="宋体" w:cs="宋体"/>
                <w:sz w:val="28"/>
                <w:szCs w:val="28"/>
              </w:rPr>
              <w:t>人以上的，不得超过接待对象人数的三分之一。确因工作需要的加班人员用餐，须填写加班人员用餐申报单，经办公室审核，报分管财务的局领导审批后方可报销，用餐标准为</w:t>
            </w:r>
            <w:r>
              <w:rPr>
                <w:sz w:val="28"/>
                <w:szCs w:val="28"/>
              </w:rPr>
              <w:t>40</w:t>
            </w:r>
            <w:r>
              <w:rPr>
                <w:rFonts w:hint="eastAsia" w:ascii="宋体" w:hAnsi="宋体" w:eastAsia="宋体" w:cs="宋体"/>
                <w:sz w:val="28"/>
                <w:szCs w:val="28"/>
              </w:rPr>
              <w:t>元</w:t>
            </w:r>
            <w:r>
              <w:rPr>
                <w:sz w:val="28"/>
                <w:szCs w:val="28"/>
              </w:rPr>
              <w:t>/</w:t>
            </w:r>
            <w:r>
              <w:rPr>
                <w:rFonts w:hint="eastAsia" w:ascii="宋体" w:hAnsi="宋体" w:eastAsia="宋体" w:cs="宋体"/>
                <w:sz w:val="28"/>
                <w:szCs w:val="28"/>
              </w:rPr>
              <w:t>人，超出费用自理。</w:t>
            </w:r>
            <w:r>
              <w:rPr>
                <w:sz w:val="28"/>
                <w:szCs w:val="28"/>
              </w:rPr>
              <w:t>6</w:t>
            </w:r>
            <w:r>
              <w:rPr>
                <w:rFonts w:hint="eastAsia" w:ascii="宋体" w:hAnsi="宋体" w:eastAsia="宋体" w:cs="宋体"/>
                <w:sz w:val="28"/>
                <w:szCs w:val="28"/>
              </w:rPr>
              <w:t>、要进一步加强公务用车日常使用管理，局机关车辆由办公室负责管理，二级机构由各单位办公室负责管理，单位主要负责人为车辆管理第一责任人。公车必须严格执行回单位停放制度，集中管理，统一调派。根据局务会要求，车辆日常需在指定位置停放，（见附表）重大节假日局机关所有公车必须停放在二办公楼指定停车场，二级机构停放在本单位指定停车位置。节假日期间除特殊工作需要外，所有公车应当封存停驶，不得使用，严禁分散管理使用，减少空驶，提高使用效率，避免浪费。严格执行公车定点维修、定点加油和定点保险的有关规定，要健全公务用车使用登记制度，严格执行维修申报制度，凡发现违规行为的，由局纪检部门追究有关当事人的责任。 三、资产管理情况</w:t>
            </w:r>
            <w:r>
              <w:rPr>
                <w:sz w:val="28"/>
                <w:szCs w:val="28"/>
              </w:rPr>
              <w:t>1</w:t>
            </w:r>
            <w:r>
              <w:rPr>
                <w:rFonts w:hint="eastAsia" w:ascii="宋体" w:hAnsi="宋体" w:eastAsia="宋体" w:cs="宋体"/>
                <w:sz w:val="28"/>
                <w:szCs w:val="28"/>
              </w:rPr>
              <w:t>、局机关办公室职责：制定机关资产规范管理的暂行办法；所有资产统一归口中心办公室汇总管理，组织并监督各科室按规定管理好科室资产，及时登记按时维护做好保管工作；年底组织所有科室进行局机关所有资产的盘点盘底工作。</w:t>
            </w:r>
            <w:r>
              <w:rPr>
                <w:sz w:val="28"/>
                <w:szCs w:val="28"/>
              </w:rPr>
              <w:t>2</w:t>
            </w:r>
            <w:r>
              <w:rPr>
                <w:rFonts w:hint="eastAsia" w:ascii="宋体" w:hAnsi="宋体" w:eastAsia="宋体" w:cs="宋体"/>
                <w:sz w:val="28"/>
                <w:szCs w:val="28"/>
              </w:rPr>
              <w:t>、局机关及设备负责人职责：负责人负责所有资产的登记及保管工作；如有变动，月底将变动情况交付给科室负责人，负责人核对数量、汇总同类资产数量及填写存放地点，及时盘点登记入账；负责人负责保管所有资产，如有借出、丢失或损坏等，及时登记资产出入情况并写明理由；科室负责人负责监督和复核。</w:t>
            </w:r>
            <w:r>
              <w:rPr>
                <w:sz w:val="28"/>
                <w:szCs w:val="28"/>
              </w:rPr>
              <w:t>3</w:t>
            </w:r>
            <w:r>
              <w:rPr>
                <w:rFonts w:hint="eastAsia" w:ascii="宋体" w:hAnsi="宋体" w:eastAsia="宋体" w:cs="宋体"/>
                <w:sz w:val="28"/>
                <w:szCs w:val="28"/>
              </w:rPr>
              <w:t>、局机关财务职责：财务负责政府采购固定资产的相关工作；财务负责每月登记录入财政资产管理平台，上交资产月表、年度资产决算表，建立好政府采购文件档案。</w:t>
            </w:r>
          </w:p>
        </w:tc>
      </w:tr>
      <w:tr w14:paraId="0C827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3284" w:type="dxa"/>
            <w:vMerge w:val="continue"/>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7A7407F2">
            <w:pPr>
              <w:rPr>
                <w:rFonts w:hint="eastAsia" w:ascii="宋体"/>
                <w:sz w:val="24"/>
                <w:szCs w:val="24"/>
              </w:rPr>
            </w:pPr>
          </w:p>
        </w:tc>
        <w:tc>
          <w:tcPr>
            <w:tcW w:w="6616" w:type="dxa"/>
            <w:gridSpan w:val="8"/>
            <w:vMerge w:val="continue"/>
            <w:tcBorders>
              <w:top w:val="nil"/>
              <w:left w:val="nil"/>
              <w:bottom w:val="single" w:color="00000A" w:sz="8" w:space="0"/>
              <w:right w:val="single" w:color="00000A" w:sz="8" w:space="0"/>
            </w:tcBorders>
            <w:tcMar>
              <w:top w:w="0" w:type="dxa"/>
              <w:left w:w="0" w:type="dxa"/>
              <w:bottom w:w="0" w:type="dxa"/>
              <w:right w:w="115" w:type="dxa"/>
            </w:tcMar>
            <w:vAlign w:val="center"/>
          </w:tcPr>
          <w:p w14:paraId="48FC6FBA">
            <w:pPr>
              <w:rPr>
                <w:rFonts w:hint="eastAsia" w:ascii="宋体"/>
                <w:sz w:val="24"/>
                <w:szCs w:val="24"/>
              </w:rPr>
            </w:pPr>
          </w:p>
        </w:tc>
      </w:tr>
      <w:tr w14:paraId="5B91D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3284" w:type="dxa"/>
            <w:vMerge w:val="continue"/>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4E0ACCC7">
            <w:pPr>
              <w:rPr>
                <w:rFonts w:hint="eastAsia" w:ascii="宋体"/>
                <w:sz w:val="24"/>
                <w:szCs w:val="24"/>
              </w:rPr>
            </w:pPr>
          </w:p>
        </w:tc>
        <w:tc>
          <w:tcPr>
            <w:tcW w:w="6616" w:type="dxa"/>
            <w:gridSpan w:val="8"/>
            <w:vMerge w:val="restart"/>
            <w:tcBorders>
              <w:top w:val="nil"/>
              <w:left w:val="nil"/>
              <w:bottom w:val="outset" w:color="00000A" w:sz="18" w:space="0"/>
              <w:right w:val="single" w:color="00000A" w:sz="8" w:space="0"/>
            </w:tcBorders>
            <w:tcMar>
              <w:top w:w="0" w:type="dxa"/>
              <w:left w:w="0" w:type="dxa"/>
              <w:bottom w:w="0" w:type="dxa"/>
              <w:right w:w="115" w:type="dxa"/>
            </w:tcMar>
            <w:vAlign w:val="center"/>
          </w:tcPr>
          <w:p w14:paraId="4B4031CE">
            <w:pPr>
              <w:widowControl/>
              <w:spacing w:before="0" w:beforeAutospacing="0" w:after="0" w:afterAutospacing="0"/>
              <w:ind w:left="0" w:right="0"/>
              <w:jc w:val="left"/>
            </w:pPr>
          </w:p>
        </w:tc>
      </w:tr>
      <w:tr w14:paraId="19DC1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3284" w:type="dxa"/>
            <w:vMerge w:val="continue"/>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6822BE96">
            <w:pPr>
              <w:rPr>
                <w:rFonts w:hint="eastAsia" w:ascii="宋体"/>
                <w:sz w:val="24"/>
                <w:szCs w:val="24"/>
              </w:rPr>
            </w:pPr>
          </w:p>
        </w:tc>
        <w:tc>
          <w:tcPr>
            <w:tcW w:w="6616" w:type="dxa"/>
            <w:gridSpan w:val="8"/>
            <w:vMerge w:val="continue"/>
            <w:tcBorders>
              <w:top w:val="nil"/>
              <w:left w:val="nil"/>
              <w:bottom w:val="outset" w:color="00000A" w:sz="18" w:space="0"/>
              <w:right w:val="single" w:color="00000A" w:sz="8" w:space="0"/>
            </w:tcBorders>
            <w:tcMar>
              <w:top w:w="0" w:type="dxa"/>
              <w:left w:w="0" w:type="dxa"/>
              <w:bottom w:w="0" w:type="dxa"/>
              <w:right w:w="115" w:type="dxa"/>
            </w:tcMar>
            <w:vAlign w:val="center"/>
          </w:tcPr>
          <w:p w14:paraId="1AFE6107">
            <w:pPr>
              <w:rPr>
                <w:rFonts w:hint="eastAsia" w:ascii="宋体"/>
                <w:sz w:val="24"/>
                <w:szCs w:val="24"/>
              </w:rPr>
            </w:pPr>
          </w:p>
        </w:tc>
      </w:tr>
      <w:tr w14:paraId="3CFAD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3284" w:type="dxa"/>
            <w:vMerge w:val="restart"/>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7C9B2E11">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Style w:val="5"/>
                <w:rFonts w:hint="default" w:ascii="仿宋_GB2312" w:eastAsia="仿宋_GB2312" w:cs="仿宋_GB2312"/>
                <w:sz w:val="24"/>
                <w:szCs w:val="24"/>
              </w:rPr>
              <w:t>部门专项组织实施情况</w:t>
            </w:r>
          </w:p>
        </w:tc>
        <w:tc>
          <w:tcPr>
            <w:tcW w:w="6616" w:type="dxa"/>
            <w:gridSpan w:val="8"/>
            <w:vMerge w:val="restart"/>
            <w:tcBorders>
              <w:top w:val="nil"/>
              <w:left w:val="nil"/>
              <w:bottom w:val="single" w:color="00000A" w:sz="8" w:space="0"/>
              <w:right w:val="single" w:color="00000A" w:sz="8" w:space="0"/>
            </w:tcBorders>
            <w:tcMar>
              <w:top w:w="0" w:type="dxa"/>
              <w:left w:w="0" w:type="dxa"/>
              <w:bottom w:w="0" w:type="dxa"/>
              <w:right w:w="115" w:type="dxa"/>
            </w:tcMar>
            <w:vAlign w:val="center"/>
          </w:tcPr>
          <w:p w14:paraId="4AF99F2F">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rPr>
                <w:sz w:val="19"/>
                <w:szCs w:val="19"/>
              </w:rPr>
            </w:pPr>
            <w:r>
              <w:rPr>
                <w:sz w:val="28"/>
                <w:szCs w:val="28"/>
              </w:rPr>
              <w:t>1</w:t>
            </w:r>
            <w:r>
              <w:rPr>
                <w:rFonts w:hint="eastAsia" w:ascii="宋体" w:hAnsi="宋体" w:eastAsia="宋体" w:cs="宋体"/>
                <w:sz w:val="28"/>
                <w:szCs w:val="28"/>
              </w:rPr>
              <w:t>、局机关财务管理制度执行。具体实施细则：</w:t>
            </w:r>
            <w:r>
              <w:rPr>
                <w:sz w:val="28"/>
                <w:szCs w:val="28"/>
              </w:rPr>
              <w:t>1</w:t>
            </w:r>
            <w:r>
              <w:rPr>
                <w:rFonts w:hint="eastAsia" w:ascii="宋体" w:hAnsi="宋体" w:eastAsia="宋体" w:cs="宋体"/>
                <w:sz w:val="28"/>
                <w:szCs w:val="28"/>
              </w:rPr>
              <w:t>、报账必须取得合理、合法、真实、有效的原始凭证，禁止使用不符合会计制度规定的“白纸条”，发票内容必须真实、合法，完整、手续完备、内容齐全，财务人员如发现有疑问的地方应查询清楚，对不符合规定的凭证和开支不予报销。</w:t>
            </w:r>
            <w:r>
              <w:rPr>
                <w:sz w:val="28"/>
                <w:szCs w:val="28"/>
              </w:rPr>
              <w:t>2</w:t>
            </w:r>
            <w:r>
              <w:rPr>
                <w:rFonts w:hint="eastAsia" w:ascii="宋体" w:hAnsi="宋体" w:eastAsia="宋体" w:cs="宋体"/>
                <w:sz w:val="28"/>
                <w:szCs w:val="28"/>
              </w:rPr>
              <w:t>、严格控制现金支出。对外结算，必须以转账支付，特殊情况需事先报告局领导同意后方可现金支付。</w:t>
            </w:r>
            <w:r>
              <w:rPr>
                <w:sz w:val="28"/>
                <w:szCs w:val="28"/>
              </w:rPr>
              <w:t>3</w:t>
            </w:r>
            <w:r>
              <w:rPr>
                <w:rFonts w:hint="eastAsia" w:ascii="宋体" w:hAnsi="宋体" w:eastAsia="宋体" w:cs="宋体"/>
                <w:sz w:val="28"/>
                <w:szCs w:val="28"/>
              </w:rPr>
              <w:t>、报销支付到个人账户的开支，必须附与发票金额一致的公务卡刷卡记录凭证，否则不予报销。</w:t>
            </w:r>
            <w:r>
              <w:rPr>
                <w:sz w:val="28"/>
                <w:szCs w:val="28"/>
              </w:rPr>
              <w:t>4</w:t>
            </w:r>
            <w:r>
              <w:rPr>
                <w:rFonts w:hint="eastAsia" w:ascii="宋体" w:hAnsi="宋体" w:eastAsia="宋体" w:cs="宋体"/>
                <w:sz w:val="28"/>
                <w:szCs w:val="28"/>
              </w:rPr>
              <w:t>、加强差旅费管理。对出差人员应定任务、定人数、定时间、定地点，出差回来后限</w:t>
            </w:r>
            <w:r>
              <w:rPr>
                <w:sz w:val="28"/>
                <w:szCs w:val="28"/>
              </w:rPr>
              <w:t>5</w:t>
            </w:r>
            <w:r>
              <w:rPr>
                <w:rFonts w:hint="eastAsia" w:ascii="宋体" w:hAnsi="宋体" w:eastAsia="宋体" w:cs="宋体"/>
                <w:sz w:val="28"/>
                <w:szCs w:val="28"/>
              </w:rPr>
              <w:t>天内结账。差旅费报销执行长财［</w:t>
            </w:r>
            <w:r>
              <w:rPr>
                <w:sz w:val="28"/>
                <w:szCs w:val="28"/>
              </w:rPr>
              <w:t>2014</w:t>
            </w:r>
            <w:r>
              <w:rPr>
                <w:rFonts w:hint="eastAsia" w:ascii="宋体" w:hAnsi="宋体" w:eastAsia="宋体" w:cs="宋体"/>
                <w:sz w:val="28"/>
                <w:szCs w:val="28"/>
              </w:rPr>
              <w:t>］</w:t>
            </w:r>
            <w:r>
              <w:rPr>
                <w:sz w:val="28"/>
                <w:szCs w:val="28"/>
              </w:rPr>
              <w:t>54</w:t>
            </w:r>
            <w:r>
              <w:rPr>
                <w:rFonts w:hint="eastAsia" w:ascii="宋体" w:hAnsi="宋体" w:eastAsia="宋体" w:cs="宋体"/>
                <w:sz w:val="28"/>
                <w:szCs w:val="28"/>
              </w:rPr>
              <w:t>号《长沙市市直机关差旅费管理办法》。交通工具限火车硬席、高铁</w:t>
            </w:r>
            <w:r>
              <w:rPr>
                <w:sz w:val="28"/>
                <w:szCs w:val="28"/>
              </w:rPr>
              <w:t>/</w:t>
            </w:r>
            <w:r>
              <w:rPr>
                <w:rFonts w:hint="eastAsia" w:ascii="宋体" w:hAnsi="宋体" w:eastAsia="宋体" w:cs="宋体"/>
                <w:sz w:val="28"/>
                <w:szCs w:val="28"/>
              </w:rPr>
              <w:t>动车二等座、轮船三等舱、飞机经济舱。市内交通费每人每天</w:t>
            </w:r>
            <w:r>
              <w:rPr>
                <w:sz w:val="28"/>
                <w:szCs w:val="28"/>
              </w:rPr>
              <w:t>80</w:t>
            </w:r>
            <w:r>
              <w:rPr>
                <w:rFonts w:hint="eastAsia" w:ascii="宋体" w:hAnsi="宋体" w:eastAsia="宋体" w:cs="宋体"/>
                <w:sz w:val="28"/>
                <w:szCs w:val="28"/>
              </w:rPr>
              <w:t>元标准，出差人员自带交通工具的，不予补助市内交通费。省内住宿费不得超过每人每天</w:t>
            </w:r>
            <w:r>
              <w:rPr>
                <w:sz w:val="28"/>
                <w:szCs w:val="28"/>
              </w:rPr>
              <w:t>330</w:t>
            </w:r>
            <w:r>
              <w:rPr>
                <w:rFonts w:hint="eastAsia" w:ascii="宋体" w:hAnsi="宋体" w:eastAsia="宋体" w:cs="宋体"/>
                <w:sz w:val="28"/>
                <w:szCs w:val="28"/>
              </w:rPr>
              <w:t>元标准，省内伙食补助每人每天</w:t>
            </w:r>
            <w:r>
              <w:rPr>
                <w:sz w:val="28"/>
                <w:szCs w:val="28"/>
              </w:rPr>
              <w:t>100</w:t>
            </w:r>
            <w:r>
              <w:rPr>
                <w:rFonts w:hint="eastAsia" w:ascii="宋体" w:hAnsi="宋体" w:eastAsia="宋体" w:cs="宋体"/>
                <w:sz w:val="28"/>
                <w:szCs w:val="28"/>
              </w:rPr>
              <w:t>元标准，省外出差，执行财政部公布的分地区、分级别住宿费、伙食补助费限额标准。除伙食补助费和市内交通费按规定标准包干补助外，其他差旅费在限额标准内凭发票据实报销，超支部分由个人自理。</w:t>
            </w:r>
            <w:r>
              <w:rPr>
                <w:sz w:val="28"/>
                <w:szCs w:val="28"/>
              </w:rPr>
              <w:t>5</w:t>
            </w:r>
            <w:r>
              <w:rPr>
                <w:rFonts w:hint="eastAsia" w:ascii="宋体" w:hAnsi="宋体" w:eastAsia="宋体" w:cs="宋体"/>
                <w:sz w:val="28"/>
                <w:szCs w:val="28"/>
              </w:rPr>
              <w:t>、加强招待费管理。公务接待工作应当坚持有利公务、务实节俭、严格标准，从严从紧控制公务接待经费，不得擅自突破。厅级干部每人每天</w:t>
            </w:r>
            <w:r>
              <w:rPr>
                <w:sz w:val="28"/>
                <w:szCs w:val="28"/>
              </w:rPr>
              <w:t>120</w:t>
            </w:r>
            <w:r>
              <w:rPr>
                <w:rFonts w:hint="eastAsia" w:ascii="宋体" w:hAnsi="宋体" w:eastAsia="宋体" w:cs="宋体"/>
                <w:sz w:val="28"/>
                <w:szCs w:val="28"/>
              </w:rPr>
              <w:t>元、处级干部每人每天</w:t>
            </w:r>
            <w:r>
              <w:rPr>
                <w:sz w:val="28"/>
                <w:szCs w:val="28"/>
              </w:rPr>
              <w:t>100</w:t>
            </w:r>
            <w:r>
              <w:rPr>
                <w:rFonts w:hint="eastAsia" w:ascii="宋体" w:hAnsi="宋体" w:eastAsia="宋体" w:cs="宋体"/>
                <w:sz w:val="28"/>
                <w:szCs w:val="28"/>
              </w:rPr>
              <w:t>元、其他人员每人每天</w:t>
            </w:r>
            <w:r>
              <w:rPr>
                <w:sz w:val="28"/>
                <w:szCs w:val="28"/>
              </w:rPr>
              <w:t>80</w:t>
            </w:r>
            <w:r>
              <w:rPr>
                <w:rFonts w:hint="eastAsia" w:ascii="宋体" w:hAnsi="宋体" w:eastAsia="宋体" w:cs="宋体"/>
                <w:sz w:val="28"/>
                <w:szCs w:val="28"/>
              </w:rPr>
              <w:t>元。接待对象在</w:t>
            </w:r>
            <w:r>
              <w:rPr>
                <w:sz w:val="28"/>
                <w:szCs w:val="28"/>
              </w:rPr>
              <w:t>10</w:t>
            </w:r>
            <w:r>
              <w:rPr>
                <w:rFonts w:hint="eastAsia" w:ascii="宋体" w:hAnsi="宋体" w:eastAsia="宋体" w:cs="宋体"/>
                <w:sz w:val="28"/>
                <w:szCs w:val="28"/>
              </w:rPr>
              <w:t>人以内的，陪餐人数不得超过</w:t>
            </w:r>
            <w:r>
              <w:rPr>
                <w:sz w:val="28"/>
                <w:szCs w:val="28"/>
              </w:rPr>
              <w:t>3</w:t>
            </w:r>
            <w:r>
              <w:rPr>
                <w:rFonts w:hint="eastAsia" w:ascii="宋体" w:hAnsi="宋体" w:eastAsia="宋体" w:cs="宋体"/>
                <w:sz w:val="28"/>
                <w:szCs w:val="28"/>
              </w:rPr>
              <w:t>人，</w:t>
            </w:r>
            <w:r>
              <w:rPr>
                <w:sz w:val="28"/>
                <w:szCs w:val="28"/>
              </w:rPr>
              <w:t>10</w:t>
            </w:r>
            <w:r>
              <w:rPr>
                <w:rFonts w:hint="eastAsia" w:ascii="宋体" w:hAnsi="宋体" w:eastAsia="宋体" w:cs="宋体"/>
                <w:sz w:val="28"/>
                <w:szCs w:val="28"/>
              </w:rPr>
              <w:t>人以上的，不得超过接待对象人数的三分之一。确因工作需要的加班人员用餐，须填写加班人员用餐申报单，经办公室审核，报分管财务的局领导审批后方可报销，用餐标准为</w:t>
            </w:r>
            <w:r>
              <w:rPr>
                <w:sz w:val="28"/>
                <w:szCs w:val="28"/>
              </w:rPr>
              <w:t>40</w:t>
            </w:r>
            <w:r>
              <w:rPr>
                <w:rFonts w:hint="eastAsia" w:ascii="宋体" w:hAnsi="宋体" w:eastAsia="宋体" w:cs="宋体"/>
                <w:sz w:val="28"/>
                <w:szCs w:val="28"/>
              </w:rPr>
              <w:t>元</w:t>
            </w:r>
            <w:r>
              <w:rPr>
                <w:sz w:val="28"/>
                <w:szCs w:val="28"/>
              </w:rPr>
              <w:t>/</w:t>
            </w:r>
            <w:r>
              <w:rPr>
                <w:rFonts w:hint="eastAsia" w:ascii="宋体" w:hAnsi="宋体" w:eastAsia="宋体" w:cs="宋体"/>
                <w:sz w:val="28"/>
                <w:szCs w:val="28"/>
              </w:rPr>
              <w:t>人，超出费用自理。</w:t>
            </w:r>
            <w:r>
              <w:rPr>
                <w:sz w:val="28"/>
                <w:szCs w:val="28"/>
              </w:rPr>
              <w:t>6</w:t>
            </w:r>
            <w:r>
              <w:rPr>
                <w:rFonts w:hint="eastAsia" w:ascii="宋体" w:hAnsi="宋体" w:eastAsia="宋体" w:cs="宋体"/>
                <w:sz w:val="28"/>
                <w:szCs w:val="28"/>
              </w:rPr>
              <w:t>、要进一步加强公务用车日常使用管理，局机关车辆由办公室负责管理，二级机构由各单位办公室负责管理，单位主要负责人为车辆管理第一责任人。公车必须严格执行回单位停放制度，集中管理，统一调派。根据局务会要求，车辆日常需在指定位置停放，（见附表）重大节假日局机关所有公车必须停放在二办公楼指定停车场，二级机构停放在本单位指定停车位置。节假日期间除特殊工作需要外，所有公车应当封存停驶，不得使用，严禁分散管理使用，减少空驶，提高使用效率，避免浪费。严格执行公车定点维修、定点加油和定点保险的有关规定，要健全公务用车使用登记制度，严格执行维修申报制度，凡发现违规行为的，由局纪检部门追究有关当事人的责任。 三、资产管理情况</w:t>
            </w:r>
            <w:r>
              <w:rPr>
                <w:sz w:val="28"/>
                <w:szCs w:val="28"/>
              </w:rPr>
              <w:t>1</w:t>
            </w:r>
            <w:r>
              <w:rPr>
                <w:rFonts w:hint="eastAsia" w:ascii="宋体" w:hAnsi="宋体" w:eastAsia="宋体" w:cs="宋体"/>
                <w:sz w:val="28"/>
                <w:szCs w:val="28"/>
              </w:rPr>
              <w:t>、局机关办公室职责：制定机关资产规范管理的暂行办法；所有资产统一归口中心办公室汇总管理，组织并监督各科室按规定管理好科室资产，及时登记按时维护做好保管工作；年底组织所有科室进行局机关所有资产的盘点盘底工作。</w:t>
            </w:r>
            <w:r>
              <w:rPr>
                <w:sz w:val="28"/>
                <w:szCs w:val="28"/>
              </w:rPr>
              <w:t>2</w:t>
            </w:r>
            <w:r>
              <w:rPr>
                <w:rFonts w:hint="eastAsia" w:ascii="宋体" w:hAnsi="宋体" w:eastAsia="宋体" w:cs="宋体"/>
                <w:sz w:val="28"/>
                <w:szCs w:val="28"/>
              </w:rPr>
              <w:t>、局机关及设备负责人职责：负责人负责所有资产的登记及保管工作；如有变动，月底将变动情况交付给科室负责人，负责人核对数量、汇总同类资产数量及填写存放地点，及时盘点登记入账；负责人负责保管所有资产，如有借出、丢失或损坏等，及时登记资产出入情况并写明理由；科室负责人负责监督和复核。</w:t>
            </w:r>
            <w:r>
              <w:rPr>
                <w:sz w:val="28"/>
                <w:szCs w:val="28"/>
              </w:rPr>
              <w:t>3</w:t>
            </w:r>
            <w:r>
              <w:rPr>
                <w:rFonts w:hint="eastAsia" w:ascii="宋体" w:hAnsi="宋体" w:eastAsia="宋体" w:cs="宋体"/>
                <w:sz w:val="28"/>
                <w:szCs w:val="28"/>
              </w:rPr>
              <w:t>、局机关财务职责：财务负责政府采购固定资产的相关工作；财务负责每月登记录入财政资产管理平台，上交资产月表、年度资产决算表，建立好政府采购文件档案。 内容必须真实、合法，完整、手续完备、内容齐全，财务人员如发现有疑问的地方应查询清楚，对不符合规定的凭证和开支不予报销。</w:t>
            </w:r>
            <w:r>
              <w:rPr>
                <w:sz w:val="28"/>
                <w:szCs w:val="28"/>
              </w:rPr>
              <w:t>2</w:t>
            </w:r>
            <w:r>
              <w:rPr>
                <w:rFonts w:hint="eastAsia" w:ascii="宋体" w:hAnsi="宋体" w:eastAsia="宋体" w:cs="宋体"/>
                <w:sz w:val="28"/>
                <w:szCs w:val="28"/>
              </w:rPr>
              <w:t>、严格控制现金支出。对外结算，必须以转账支付，特殊情况需事先报告局领导同意后方可现金支付。</w:t>
            </w:r>
            <w:r>
              <w:rPr>
                <w:sz w:val="28"/>
                <w:szCs w:val="28"/>
              </w:rPr>
              <w:t>3</w:t>
            </w:r>
            <w:r>
              <w:rPr>
                <w:rFonts w:hint="eastAsia" w:ascii="宋体" w:hAnsi="宋体" w:eastAsia="宋体" w:cs="宋体"/>
                <w:sz w:val="28"/>
                <w:szCs w:val="28"/>
              </w:rPr>
              <w:t>、报销支付到个人账户的开支，必须附与发票金额一致的公务卡刷卡记录凭证，否则不予报销。</w:t>
            </w:r>
            <w:r>
              <w:rPr>
                <w:sz w:val="28"/>
                <w:szCs w:val="28"/>
              </w:rPr>
              <w:t>4</w:t>
            </w:r>
            <w:r>
              <w:rPr>
                <w:rFonts w:hint="eastAsia" w:ascii="宋体" w:hAnsi="宋体" w:eastAsia="宋体" w:cs="宋体"/>
                <w:sz w:val="28"/>
                <w:szCs w:val="28"/>
              </w:rPr>
              <w:t>、加强差旅费管理。对出差人员应定任务、定人数、定时间、定地点，出差回来后限</w:t>
            </w:r>
            <w:r>
              <w:rPr>
                <w:sz w:val="28"/>
                <w:szCs w:val="28"/>
              </w:rPr>
              <w:t>5</w:t>
            </w:r>
            <w:r>
              <w:rPr>
                <w:rFonts w:hint="eastAsia" w:ascii="宋体" w:hAnsi="宋体" w:eastAsia="宋体" w:cs="宋体"/>
                <w:sz w:val="28"/>
                <w:szCs w:val="28"/>
              </w:rPr>
              <w:t>天内结账。差旅费报销执行长财［</w:t>
            </w:r>
            <w:r>
              <w:rPr>
                <w:sz w:val="28"/>
                <w:szCs w:val="28"/>
              </w:rPr>
              <w:t>2014</w:t>
            </w:r>
            <w:r>
              <w:rPr>
                <w:rFonts w:hint="eastAsia" w:ascii="宋体" w:hAnsi="宋体" w:eastAsia="宋体" w:cs="宋体"/>
                <w:sz w:val="28"/>
                <w:szCs w:val="28"/>
              </w:rPr>
              <w:t>］</w:t>
            </w:r>
            <w:r>
              <w:rPr>
                <w:sz w:val="28"/>
                <w:szCs w:val="28"/>
              </w:rPr>
              <w:t>54</w:t>
            </w:r>
            <w:r>
              <w:rPr>
                <w:rFonts w:hint="eastAsia" w:ascii="宋体" w:hAnsi="宋体" w:eastAsia="宋体" w:cs="宋体"/>
                <w:sz w:val="28"/>
                <w:szCs w:val="28"/>
              </w:rPr>
              <w:t>号《长沙市市直机关差旅费管理办法》。交通工具限火车硬席、高铁</w:t>
            </w:r>
            <w:r>
              <w:rPr>
                <w:sz w:val="28"/>
                <w:szCs w:val="28"/>
              </w:rPr>
              <w:t>/</w:t>
            </w:r>
            <w:r>
              <w:rPr>
                <w:rFonts w:hint="eastAsia" w:ascii="宋体" w:hAnsi="宋体" w:eastAsia="宋体" w:cs="宋体"/>
                <w:sz w:val="28"/>
                <w:szCs w:val="28"/>
              </w:rPr>
              <w:t>动车二等座、轮船三等舱、飞机经济舱。市内交通费每人每天</w:t>
            </w:r>
            <w:r>
              <w:rPr>
                <w:sz w:val="28"/>
                <w:szCs w:val="28"/>
              </w:rPr>
              <w:t>80</w:t>
            </w:r>
            <w:r>
              <w:rPr>
                <w:rFonts w:hint="eastAsia" w:ascii="宋体" w:hAnsi="宋体" w:eastAsia="宋体" w:cs="宋体"/>
                <w:sz w:val="28"/>
                <w:szCs w:val="28"/>
              </w:rPr>
              <w:t>元标准，出差人员自带交通工具的，不予补助市内交通费。省内住宿费不得超过每人每天</w:t>
            </w:r>
            <w:r>
              <w:rPr>
                <w:sz w:val="28"/>
                <w:szCs w:val="28"/>
              </w:rPr>
              <w:t>330</w:t>
            </w:r>
            <w:r>
              <w:rPr>
                <w:rFonts w:hint="eastAsia" w:ascii="宋体" w:hAnsi="宋体" w:eastAsia="宋体" w:cs="宋体"/>
                <w:sz w:val="28"/>
                <w:szCs w:val="28"/>
              </w:rPr>
              <w:t>元标准，省内伙食补助每人每天</w:t>
            </w:r>
            <w:r>
              <w:rPr>
                <w:sz w:val="28"/>
                <w:szCs w:val="28"/>
              </w:rPr>
              <w:t>100</w:t>
            </w:r>
            <w:r>
              <w:rPr>
                <w:rFonts w:hint="eastAsia" w:ascii="宋体" w:hAnsi="宋体" w:eastAsia="宋体" w:cs="宋体"/>
                <w:sz w:val="28"/>
                <w:szCs w:val="28"/>
              </w:rPr>
              <w:t>元标准，省外出差，执行财政部公布的分地区、分级别住宿费、伙食补助费限额标准。除伙食补助费和市内交通费按规定标准包干补助外，其他差旅费在限额标准内凭发票据实报销，超支部分由个人自理。</w:t>
            </w:r>
            <w:r>
              <w:rPr>
                <w:sz w:val="28"/>
                <w:szCs w:val="28"/>
              </w:rPr>
              <w:t>5</w:t>
            </w:r>
            <w:r>
              <w:rPr>
                <w:rFonts w:hint="eastAsia" w:ascii="宋体" w:hAnsi="宋体" w:eastAsia="宋体" w:cs="宋体"/>
                <w:sz w:val="28"/>
                <w:szCs w:val="28"/>
              </w:rPr>
              <w:t>、加强招待费管理。公务接待工作应当坚持有利公务、务实节俭、严格标准，从严从紧控制公务接待经费，不得擅自突破。厅级干部每人每天</w:t>
            </w:r>
            <w:r>
              <w:rPr>
                <w:sz w:val="28"/>
                <w:szCs w:val="28"/>
              </w:rPr>
              <w:t>120</w:t>
            </w:r>
            <w:r>
              <w:rPr>
                <w:rFonts w:hint="eastAsia" w:ascii="宋体" w:hAnsi="宋体" w:eastAsia="宋体" w:cs="宋体"/>
                <w:sz w:val="28"/>
                <w:szCs w:val="28"/>
              </w:rPr>
              <w:t>元、处级干部每人每天</w:t>
            </w:r>
            <w:r>
              <w:rPr>
                <w:sz w:val="28"/>
                <w:szCs w:val="28"/>
              </w:rPr>
              <w:t>100</w:t>
            </w:r>
            <w:r>
              <w:rPr>
                <w:rFonts w:hint="eastAsia" w:ascii="宋体" w:hAnsi="宋体" w:eastAsia="宋体" w:cs="宋体"/>
                <w:sz w:val="28"/>
                <w:szCs w:val="28"/>
              </w:rPr>
              <w:t>元、其他人员每人每天</w:t>
            </w:r>
            <w:r>
              <w:rPr>
                <w:sz w:val="28"/>
                <w:szCs w:val="28"/>
              </w:rPr>
              <w:t>80</w:t>
            </w:r>
            <w:r>
              <w:rPr>
                <w:rFonts w:hint="eastAsia" w:ascii="宋体" w:hAnsi="宋体" w:eastAsia="宋体" w:cs="宋体"/>
                <w:sz w:val="28"/>
                <w:szCs w:val="28"/>
              </w:rPr>
              <w:t>元。接待对象在</w:t>
            </w:r>
            <w:r>
              <w:rPr>
                <w:sz w:val="28"/>
                <w:szCs w:val="28"/>
              </w:rPr>
              <w:t>10</w:t>
            </w:r>
            <w:r>
              <w:rPr>
                <w:rFonts w:hint="eastAsia" w:ascii="宋体" w:hAnsi="宋体" w:eastAsia="宋体" w:cs="宋体"/>
                <w:sz w:val="28"/>
                <w:szCs w:val="28"/>
              </w:rPr>
              <w:t>人以内的，陪餐人数不得超过</w:t>
            </w:r>
            <w:r>
              <w:rPr>
                <w:sz w:val="28"/>
                <w:szCs w:val="28"/>
              </w:rPr>
              <w:t>3</w:t>
            </w:r>
            <w:r>
              <w:rPr>
                <w:rFonts w:hint="eastAsia" w:ascii="宋体" w:hAnsi="宋体" w:eastAsia="宋体" w:cs="宋体"/>
                <w:sz w:val="28"/>
                <w:szCs w:val="28"/>
              </w:rPr>
              <w:t>人，</w:t>
            </w:r>
            <w:r>
              <w:rPr>
                <w:sz w:val="28"/>
                <w:szCs w:val="28"/>
              </w:rPr>
              <w:t>10</w:t>
            </w:r>
            <w:r>
              <w:rPr>
                <w:rFonts w:hint="eastAsia" w:ascii="宋体" w:hAnsi="宋体" w:eastAsia="宋体" w:cs="宋体"/>
                <w:sz w:val="28"/>
                <w:szCs w:val="28"/>
              </w:rPr>
              <w:t>人以上的，不得超过接待对象人数的三分之一。确因工作需要的加班人员用餐，须填写加班人员用餐申报单，经办公室审核，报分管财务的局领导审批后方可报销，用餐标准为</w:t>
            </w:r>
            <w:r>
              <w:rPr>
                <w:sz w:val="28"/>
                <w:szCs w:val="28"/>
              </w:rPr>
              <w:t>40</w:t>
            </w:r>
            <w:r>
              <w:rPr>
                <w:rFonts w:hint="eastAsia" w:ascii="宋体" w:hAnsi="宋体" w:eastAsia="宋体" w:cs="宋体"/>
                <w:sz w:val="28"/>
                <w:szCs w:val="28"/>
              </w:rPr>
              <w:t>元</w:t>
            </w:r>
            <w:r>
              <w:rPr>
                <w:sz w:val="28"/>
                <w:szCs w:val="28"/>
              </w:rPr>
              <w:t>/</w:t>
            </w:r>
            <w:r>
              <w:rPr>
                <w:rFonts w:hint="eastAsia" w:ascii="宋体" w:hAnsi="宋体" w:eastAsia="宋体" w:cs="宋体"/>
                <w:sz w:val="28"/>
                <w:szCs w:val="28"/>
              </w:rPr>
              <w:t>人，超出费用自理。</w:t>
            </w:r>
            <w:r>
              <w:rPr>
                <w:sz w:val="28"/>
                <w:szCs w:val="28"/>
              </w:rPr>
              <w:t>6</w:t>
            </w:r>
            <w:r>
              <w:rPr>
                <w:rFonts w:hint="eastAsia" w:ascii="宋体" w:hAnsi="宋体" w:eastAsia="宋体" w:cs="宋体"/>
                <w:sz w:val="28"/>
                <w:szCs w:val="28"/>
              </w:rPr>
              <w:t>、要进一步加强公务用车日常使用管理，局机关车辆由办公室负责管理，二级机构由各单位办公室负责管理，单位主要负责人为车辆管理第一责任人。公车必须严格执行回单位停放制度，集中管理，统一调派。根据局务会要求，车辆日常需在指定位置停放，（见附表）重大节假日局机关所有公车必须停放在二办公楼指定停车场，二级机构停放在本单位指定停车位置。节假日期间除特殊工作需要外，所有公车应当封存停驶，不得使用，严禁分散管理使用，减少空驶，提高使用效率，避免浪费。严格执行公车定点维修、定点加油和定点保险的有关规定，要健全公务用车使用登记制度，严格执行维修申报制度，凡发现违规行为的，由局纪检部门追究有关当事人的责任。 三、资产管理情况</w:t>
            </w:r>
            <w:r>
              <w:rPr>
                <w:sz w:val="28"/>
                <w:szCs w:val="28"/>
              </w:rPr>
              <w:t>1</w:t>
            </w:r>
            <w:r>
              <w:rPr>
                <w:rFonts w:hint="eastAsia" w:ascii="宋体" w:hAnsi="宋体" w:eastAsia="宋体" w:cs="宋体"/>
                <w:sz w:val="28"/>
                <w:szCs w:val="28"/>
              </w:rPr>
              <w:t>、局机关办公室职责：制定机关资产规范管理的暂行办法；所有资产统一归口中心办公室汇总管理，组织并监督各科室按规定管理好科室资产，及时登记按时维护做好保管工作；年底组织所有科室进行局机关所有资产的盘点盘底工作。</w:t>
            </w:r>
            <w:r>
              <w:rPr>
                <w:sz w:val="28"/>
                <w:szCs w:val="28"/>
              </w:rPr>
              <w:t>2</w:t>
            </w:r>
            <w:r>
              <w:rPr>
                <w:rFonts w:hint="eastAsia" w:ascii="宋体" w:hAnsi="宋体" w:eastAsia="宋体" w:cs="宋体"/>
                <w:sz w:val="28"/>
                <w:szCs w:val="28"/>
              </w:rPr>
              <w:t>、局机关及设备负责人职责：负责人负责所有资产的登记及保管工作；如有变动，月底将变动情况交付给科室负责人，负责人核对数量、汇总同类资产数量及填写存放地点，及时盘点登记入账；负责人负责保管所有资产，如有借出、丢失或损坏等，及时登记资产出入情况并写明理由；科室负责人负责监督和复核。</w:t>
            </w:r>
            <w:r>
              <w:rPr>
                <w:sz w:val="28"/>
                <w:szCs w:val="28"/>
              </w:rPr>
              <w:t>3</w:t>
            </w:r>
            <w:r>
              <w:rPr>
                <w:rFonts w:hint="eastAsia" w:ascii="宋体" w:hAnsi="宋体" w:eastAsia="宋体" w:cs="宋体"/>
                <w:sz w:val="28"/>
                <w:szCs w:val="28"/>
              </w:rPr>
              <w:t>、局机关财务职责：财务负责政府采购固定资产的相关工作；财务负责每月登记录入财政资产管理平台，上交资产月表、年度资产决算表，建立好政府采购文件档案。</w:t>
            </w:r>
          </w:p>
          <w:p w14:paraId="4A55ACB5">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rPr>
                <w:sz w:val="19"/>
                <w:szCs w:val="19"/>
              </w:rPr>
            </w:pPr>
            <w:r>
              <w:rPr>
                <w:sz w:val="28"/>
                <w:szCs w:val="28"/>
              </w:rPr>
              <w:t>2</w:t>
            </w:r>
            <w:r>
              <w:rPr>
                <w:rFonts w:hint="eastAsia" w:ascii="宋体" w:hAnsi="宋体" w:eastAsia="宋体" w:cs="宋体"/>
                <w:sz w:val="28"/>
                <w:szCs w:val="28"/>
              </w:rPr>
              <w:t>、局机关财务管理制度执行。具体实施细则：</w:t>
            </w:r>
            <w:r>
              <w:rPr>
                <w:sz w:val="28"/>
                <w:szCs w:val="28"/>
              </w:rPr>
              <w:t>1</w:t>
            </w:r>
            <w:r>
              <w:rPr>
                <w:rFonts w:hint="eastAsia" w:ascii="宋体" w:hAnsi="宋体" w:eastAsia="宋体" w:cs="宋体"/>
                <w:sz w:val="28"/>
                <w:szCs w:val="28"/>
              </w:rPr>
              <w:t>、报账必须取得合理、合法、真实、有效的原始凭证，禁止使用不符合会计制度规定的“白纸条”，发票内容必须真实、合法，完整、手续完备、内容齐全，财务人员如发现有疑问的地方应查询清楚，对不符合规定的凭证和开支不予报销。</w:t>
            </w:r>
            <w:r>
              <w:rPr>
                <w:sz w:val="28"/>
                <w:szCs w:val="28"/>
              </w:rPr>
              <w:t>2</w:t>
            </w:r>
            <w:r>
              <w:rPr>
                <w:rFonts w:hint="eastAsia" w:ascii="宋体" w:hAnsi="宋体" w:eastAsia="宋体" w:cs="宋体"/>
                <w:sz w:val="28"/>
                <w:szCs w:val="28"/>
              </w:rPr>
              <w:t>、严格控制现金支出。对外结算，必须以转账支付，特殊情况需事先报告局领导同意后方可现金支付。</w:t>
            </w:r>
            <w:r>
              <w:rPr>
                <w:sz w:val="28"/>
                <w:szCs w:val="28"/>
              </w:rPr>
              <w:t>3</w:t>
            </w:r>
            <w:r>
              <w:rPr>
                <w:rFonts w:hint="eastAsia" w:ascii="宋体" w:hAnsi="宋体" w:eastAsia="宋体" w:cs="宋体"/>
                <w:sz w:val="28"/>
                <w:szCs w:val="28"/>
              </w:rPr>
              <w:t>、报销支付到个人账户的开支，必须附与发票金额一致的公务卡刷卡记录凭证，否则不予报销。</w:t>
            </w:r>
            <w:r>
              <w:rPr>
                <w:sz w:val="28"/>
                <w:szCs w:val="28"/>
              </w:rPr>
              <w:t>4</w:t>
            </w:r>
            <w:r>
              <w:rPr>
                <w:rFonts w:hint="eastAsia" w:ascii="宋体" w:hAnsi="宋体" w:eastAsia="宋体" w:cs="宋体"/>
                <w:sz w:val="28"/>
                <w:szCs w:val="28"/>
              </w:rPr>
              <w:t>、加强差旅费管理。对出差人员应定任务、定人数、定时间、定地点，出差回来后限</w:t>
            </w:r>
            <w:r>
              <w:rPr>
                <w:sz w:val="28"/>
                <w:szCs w:val="28"/>
              </w:rPr>
              <w:t>5</w:t>
            </w:r>
            <w:r>
              <w:rPr>
                <w:rFonts w:hint="eastAsia" w:ascii="宋体" w:hAnsi="宋体" w:eastAsia="宋体" w:cs="宋体"/>
                <w:sz w:val="28"/>
                <w:szCs w:val="28"/>
              </w:rPr>
              <w:t>天内结账。差旅费报销执行长财［</w:t>
            </w:r>
            <w:r>
              <w:rPr>
                <w:sz w:val="28"/>
                <w:szCs w:val="28"/>
              </w:rPr>
              <w:t>2014</w:t>
            </w:r>
            <w:r>
              <w:rPr>
                <w:rFonts w:hint="eastAsia" w:ascii="宋体" w:hAnsi="宋体" w:eastAsia="宋体" w:cs="宋体"/>
                <w:sz w:val="28"/>
                <w:szCs w:val="28"/>
              </w:rPr>
              <w:t>］</w:t>
            </w:r>
            <w:r>
              <w:rPr>
                <w:sz w:val="28"/>
                <w:szCs w:val="28"/>
              </w:rPr>
              <w:t>54</w:t>
            </w:r>
            <w:r>
              <w:rPr>
                <w:rFonts w:hint="eastAsia" w:ascii="宋体" w:hAnsi="宋体" w:eastAsia="宋体" w:cs="宋体"/>
                <w:sz w:val="28"/>
                <w:szCs w:val="28"/>
              </w:rPr>
              <w:t>号《长沙市市直机关差旅费管理办法》。交通工具限火车硬席、高铁</w:t>
            </w:r>
            <w:r>
              <w:rPr>
                <w:sz w:val="28"/>
                <w:szCs w:val="28"/>
              </w:rPr>
              <w:t>/</w:t>
            </w:r>
            <w:r>
              <w:rPr>
                <w:rFonts w:hint="eastAsia" w:ascii="宋体" w:hAnsi="宋体" w:eastAsia="宋体" w:cs="宋体"/>
                <w:sz w:val="28"/>
                <w:szCs w:val="28"/>
              </w:rPr>
              <w:t>动车二等座、轮船三等舱、飞机经济舱。市内交通费每人每天</w:t>
            </w:r>
            <w:r>
              <w:rPr>
                <w:sz w:val="28"/>
                <w:szCs w:val="28"/>
              </w:rPr>
              <w:t>80</w:t>
            </w:r>
            <w:r>
              <w:rPr>
                <w:rFonts w:hint="eastAsia" w:ascii="宋体" w:hAnsi="宋体" w:eastAsia="宋体" w:cs="宋体"/>
                <w:sz w:val="28"/>
                <w:szCs w:val="28"/>
              </w:rPr>
              <w:t>元标准，出差人员自带交通工具的，不予补助市内交通费。省内住宿费不得超过每人每天</w:t>
            </w:r>
            <w:r>
              <w:rPr>
                <w:sz w:val="28"/>
                <w:szCs w:val="28"/>
              </w:rPr>
              <w:t>330</w:t>
            </w:r>
            <w:r>
              <w:rPr>
                <w:rFonts w:hint="eastAsia" w:ascii="宋体" w:hAnsi="宋体" w:eastAsia="宋体" w:cs="宋体"/>
                <w:sz w:val="28"/>
                <w:szCs w:val="28"/>
              </w:rPr>
              <w:t>元标准，省内伙食补助每人每天</w:t>
            </w:r>
            <w:r>
              <w:rPr>
                <w:sz w:val="28"/>
                <w:szCs w:val="28"/>
              </w:rPr>
              <w:t>100</w:t>
            </w:r>
            <w:r>
              <w:rPr>
                <w:rFonts w:hint="eastAsia" w:ascii="宋体" w:hAnsi="宋体" w:eastAsia="宋体" w:cs="宋体"/>
                <w:sz w:val="28"/>
                <w:szCs w:val="28"/>
              </w:rPr>
              <w:t>元标准，省外出差，执行财政部公布的分地区、分级别住宿费、伙食补助费限额标准。除伙食补助费和市内交通费按规定标准包干补助外，其他差旅费在限额标准内凭发票据实报销，超支部分由个人自理。</w:t>
            </w:r>
            <w:r>
              <w:rPr>
                <w:sz w:val="28"/>
                <w:szCs w:val="28"/>
              </w:rPr>
              <w:t>5</w:t>
            </w:r>
            <w:r>
              <w:rPr>
                <w:rFonts w:hint="eastAsia" w:ascii="宋体" w:hAnsi="宋体" w:eastAsia="宋体" w:cs="宋体"/>
                <w:sz w:val="28"/>
                <w:szCs w:val="28"/>
              </w:rPr>
              <w:t>、加强招待费管理。公务接待工作应当坚持有利公务、务实节俭、严格标准，从严从紧控制公务接待经费，不得擅自突破。厅级干部每人每天</w:t>
            </w:r>
            <w:r>
              <w:rPr>
                <w:sz w:val="28"/>
                <w:szCs w:val="28"/>
              </w:rPr>
              <w:t>120</w:t>
            </w:r>
            <w:r>
              <w:rPr>
                <w:rFonts w:hint="eastAsia" w:ascii="宋体" w:hAnsi="宋体" w:eastAsia="宋体" w:cs="宋体"/>
                <w:sz w:val="28"/>
                <w:szCs w:val="28"/>
              </w:rPr>
              <w:t>元、处级干部每人每天</w:t>
            </w:r>
            <w:r>
              <w:rPr>
                <w:sz w:val="28"/>
                <w:szCs w:val="28"/>
              </w:rPr>
              <w:t>100</w:t>
            </w:r>
            <w:r>
              <w:rPr>
                <w:rFonts w:hint="eastAsia" w:ascii="宋体" w:hAnsi="宋体" w:eastAsia="宋体" w:cs="宋体"/>
                <w:sz w:val="28"/>
                <w:szCs w:val="28"/>
              </w:rPr>
              <w:t>元、其他人员每人每天</w:t>
            </w:r>
            <w:r>
              <w:rPr>
                <w:sz w:val="28"/>
                <w:szCs w:val="28"/>
              </w:rPr>
              <w:t>80</w:t>
            </w:r>
            <w:r>
              <w:rPr>
                <w:rFonts w:hint="eastAsia" w:ascii="宋体" w:hAnsi="宋体" w:eastAsia="宋体" w:cs="宋体"/>
                <w:sz w:val="28"/>
                <w:szCs w:val="28"/>
              </w:rPr>
              <w:t>元。接待对象在</w:t>
            </w:r>
            <w:r>
              <w:rPr>
                <w:sz w:val="28"/>
                <w:szCs w:val="28"/>
              </w:rPr>
              <w:t>10</w:t>
            </w:r>
            <w:r>
              <w:rPr>
                <w:rFonts w:hint="eastAsia" w:ascii="宋体" w:hAnsi="宋体" w:eastAsia="宋体" w:cs="宋体"/>
                <w:sz w:val="28"/>
                <w:szCs w:val="28"/>
              </w:rPr>
              <w:t>人以内的，陪餐人数不得超过</w:t>
            </w:r>
            <w:r>
              <w:rPr>
                <w:sz w:val="28"/>
                <w:szCs w:val="28"/>
              </w:rPr>
              <w:t>3</w:t>
            </w:r>
            <w:r>
              <w:rPr>
                <w:rFonts w:hint="eastAsia" w:ascii="宋体" w:hAnsi="宋体" w:eastAsia="宋体" w:cs="宋体"/>
                <w:sz w:val="28"/>
                <w:szCs w:val="28"/>
              </w:rPr>
              <w:t>人，</w:t>
            </w:r>
            <w:r>
              <w:rPr>
                <w:sz w:val="28"/>
                <w:szCs w:val="28"/>
              </w:rPr>
              <w:t>10</w:t>
            </w:r>
            <w:r>
              <w:rPr>
                <w:rFonts w:hint="eastAsia" w:ascii="宋体" w:hAnsi="宋体" w:eastAsia="宋体" w:cs="宋体"/>
                <w:sz w:val="28"/>
                <w:szCs w:val="28"/>
              </w:rPr>
              <w:t>人以上的，不得超过接待对象人数的三分之一。确因工作需要的加班人员用餐，须填写加班人员用餐申报单，经办公室审核，报分管财务的局领导审批后方可报销，用餐标准为</w:t>
            </w:r>
            <w:r>
              <w:rPr>
                <w:sz w:val="28"/>
                <w:szCs w:val="28"/>
              </w:rPr>
              <w:t>40</w:t>
            </w:r>
            <w:r>
              <w:rPr>
                <w:rFonts w:hint="eastAsia" w:ascii="宋体" w:hAnsi="宋体" w:eastAsia="宋体" w:cs="宋体"/>
                <w:sz w:val="28"/>
                <w:szCs w:val="28"/>
              </w:rPr>
              <w:t>元</w:t>
            </w:r>
            <w:r>
              <w:rPr>
                <w:sz w:val="28"/>
                <w:szCs w:val="28"/>
              </w:rPr>
              <w:t>/</w:t>
            </w:r>
            <w:r>
              <w:rPr>
                <w:rFonts w:hint="eastAsia" w:ascii="宋体" w:hAnsi="宋体" w:eastAsia="宋体" w:cs="宋体"/>
                <w:sz w:val="28"/>
                <w:szCs w:val="28"/>
              </w:rPr>
              <w:t>人，超出费用自理。</w:t>
            </w:r>
            <w:r>
              <w:rPr>
                <w:sz w:val="28"/>
                <w:szCs w:val="28"/>
              </w:rPr>
              <w:t>6</w:t>
            </w:r>
            <w:r>
              <w:rPr>
                <w:rFonts w:hint="eastAsia" w:ascii="宋体" w:hAnsi="宋体" w:eastAsia="宋体" w:cs="宋体"/>
                <w:sz w:val="28"/>
                <w:szCs w:val="28"/>
              </w:rPr>
              <w:t>、要进一步加强公务用车日常使用管理，局机关车辆由办公室负责管理，二级机构由各单位办公室负责管理，单位主要负责人为车辆管理第一责任人。公车必须严格执行回单位停放制度，集中管理，统一调派。根据局务会要求，车辆日常需在指定位置停放，（见附表）重大节假日局机关所有公车必须停放在二办公楼指定停车场，二级机构停放在本单位指定停车位置。节假日期间除特殊工作需要外，所有公车应当封存停驶，不得使用，严禁分散管理使用，减少空驶，提高使用效率，避免浪费。严格执行公车定点维修、定点加油和定点保险的有关规定，要健全公务用车使用登记制度，严格执行维修申报制度，凡发现违规行为的，由局纪检部门追究有关当事人的责任。 三、资产管理情况</w:t>
            </w:r>
            <w:r>
              <w:rPr>
                <w:sz w:val="28"/>
                <w:szCs w:val="28"/>
              </w:rPr>
              <w:t>1</w:t>
            </w:r>
            <w:r>
              <w:rPr>
                <w:rFonts w:hint="eastAsia" w:ascii="宋体" w:hAnsi="宋体" w:eastAsia="宋体" w:cs="宋体"/>
                <w:sz w:val="28"/>
                <w:szCs w:val="28"/>
              </w:rPr>
              <w:t>、局机关办公室职责：制定机关资产规范管理的暂行办法；所有资产统一归口中心办公室汇总管理，组织并监督各科室按规定管理好科室资产，及时登记按时维护做好保管工作；年底组织所有科室进行局机关所有资产的盘点盘底工作。</w:t>
            </w:r>
            <w:r>
              <w:rPr>
                <w:sz w:val="28"/>
                <w:szCs w:val="28"/>
              </w:rPr>
              <w:t>2</w:t>
            </w:r>
            <w:r>
              <w:rPr>
                <w:rFonts w:hint="eastAsia" w:ascii="宋体" w:hAnsi="宋体" w:eastAsia="宋体" w:cs="宋体"/>
                <w:sz w:val="28"/>
                <w:szCs w:val="28"/>
              </w:rPr>
              <w:t>、局机关及设备负责人职责：负责人负责所有资产的登记及保管工作；如有变动，月底将变动情况交付给科室负责人，负责人核对数量、汇总同类资产数量及填写存放地点，及时盘点登记入账；负责人负责保管所有资产，如有借出、丢失或损坏等，及时登记资产出入情况并写明理由；科室负责人负责监督和复核。</w:t>
            </w:r>
            <w:r>
              <w:rPr>
                <w:sz w:val="28"/>
                <w:szCs w:val="28"/>
              </w:rPr>
              <w:t>3</w:t>
            </w:r>
            <w:r>
              <w:rPr>
                <w:rFonts w:hint="eastAsia" w:ascii="宋体" w:hAnsi="宋体" w:eastAsia="宋体" w:cs="宋体"/>
                <w:sz w:val="28"/>
                <w:szCs w:val="28"/>
              </w:rPr>
              <w:t>、局机关财务职责：财务负责政府采购固定资产的相关工作；财务负责每月登记录入财政资产管理平台，上交资产月表、年度资产决算表，建立好政府采购文件档案。 内容必须真实、合法，完整、手续完备、内容齐全，财务人员如发现有疑问的地方应查询清楚，对不符合规定的凭证和开支不予报销。</w:t>
            </w:r>
            <w:r>
              <w:rPr>
                <w:sz w:val="28"/>
                <w:szCs w:val="28"/>
              </w:rPr>
              <w:t>2</w:t>
            </w:r>
            <w:r>
              <w:rPr>
                <w:rFonts w:hint="eastAsia" w:ascii="宋体" w:hAnsi="宋体" w:eastAsia="宋体" w:cs="宋体"/>
                <w:sz w:val="28"/>
                <w:szCs w:val="28"/>
              </w:rPr>
              <w:t>、严格控制现金支出。对外结算，必须以转账支付，特殊情况需事先报告局领导同意后方可现金支付。</w:t>
            </w:r>
            <w:r>
              <w:rPr>
                <w:sz w:val="28"/>
                <w:szCs w:val="28"/>
              </w:rPr>
              <w:t>3</w:t>
            </w:r>
            <w:r>
              <w:rPr>
                <w:rFonts w:hint="eastAsia" w:ascii="宋体" w:hAnsi="宋体" w:eastAsia="宋体" w:cs="宋体"/>
                <w:sz w:val="28"/>
                <w:szCs w:val="28"/>
              </w:rPr>
              <w:t>、报销支付到个人账户的开支，必须附与发票金额一致的公务卡刷卡记录凭证，否则不予报销。</w:t>
            </w:r>
            <w:r>
              <w:rPr>
                <w:sz w:val="28"/>
                <w:szCs w:val="28"/>
              </w:rPr>
              <w:t>4</w:t>
            </w:r>
            <w:r>
              <w:rPr>
                <w:rFonts w:hint="eastAsia" w:ascii="宋体" w:hAnsi="宋体" w:eastAsia="宋体" w:cs="宋体"/>
                <w:sz w:val="28"/>
                <w:szCs w:val="28"/>
              </w:rPr>
              <w:t>、加强差旅费管理。对出差人员应定任务、定人数、定时间、定地点，出差回来后限</w:t>
            </w:r>
            <w:r>
              <w:rPr>
                <w:sz w:val="28"/>
                <w:szCs w:val="28"/>
              </w:rPr>
              <w:t>5</w:t>
            </w:r>
            <w:r>
              <w:rPr>
                <w:rFonts w:hint="eastAsia" w:ascii="宋体" w:hAnsi="宋体" w:eastAsia="宋体" w:cs="宋体"/>
                <w:sz w:val="28"/>
                <w:szCs w:val="28"/>
              </w:rPr>
              <w:t>天内结账。差旅费报销执行长财［</w:t>
            </w:r>
            <w:r>
              <w:rPr>
                <w:sz w:val="28"/>
                <w:szCs w:val="28"/>
              </w:rPr>
              <w:t>2014</w:t>
            </w:r>
            <w:r>
              <w:rPr>
                <w:rFonts w:hint="eastAsia" w:ascii="宋体" w:hAnsi="宋体" w:eastAsia="宋体" w:cs="宋体"/>
                <w:sz w:val="28"/>
                <w:szCs w:val="28"/>
              </w:rPr>
              <w:t>］</w:t>
            </w:r>
            <w:r>
              <w:rPr>
                <w:sz w:val="28"/>
                <w:szCs w:val="28"/>
              </w:rPr>
              <w:t>54</w:t>
            </w:r>
            <w:r>
              <w:rPr>
                <w:rFonts w:hint="eastAsia" w:ascii="宋体" w:hAnsi="宋体" w:eastAsia="宋体" w:cs="宋体"/>
                <w:sz w:val="28"/>
                <w:szCs w:val="28"/>
              </w:rPr>
              <w:t>号《长沙市市直机关差旅费管理办法》。交通工具限火车硬席、高铁</w:t>
            </w:r>
            <w:r>
              <w:rPr>
                <w:sz w:val="28"/>
                <w:szCs w:val="28"/>
              </w:rPr>
              <w:t>/</w:t>
            </w:r>
            <w:r>
              <w:rPr>
                <w:rFonts w:hint="eastAsia" w:ascii="宋体" w:hAnsi="宋体" w:eastAsia="宋体" w:cs="宋体"/>
                <w:sz w:val="28"/>
                <w:szCs w:val="28"/>
              </w:rPr>
              <w:t>动车二等座、轮船三等舱、飞机经济舱。市内交通费每人每天</w:t>
            </w:r>
            <w:r>
              <w:rPr>
                <w:sz w:val="28"/>
                <w:szCs w:val="28"/>
              </w:rPr>
              <w:t>80</w:t>
            </w:r>
            <w:r>
              <w:rPr>
                <w:rFonts w:hint="eastAsia" w:ascii="宋体" w:hAnsi="宋体" w:eastAsia="宋体" w:cs="宋体"/>
                <w:sz w:val="28"/>
                <w:szCs w:val="28"/>
              </w:rPr>
              <w:t>元标准，出差人员自带交通工具的，不予补助市内交通费。省内住宿费不得超过每人每天</w:t>
            </w:r>
            <w:r>
              <w:rPr>
                <w:sz w:val="28"/>
                <w:szCs w:val="28"/>
              </w:rPr>
              <w:t>330</w:t>
            </w:r>
            <w:r>
              <w:rPr>
                <w:rFonts w:hint="eastAsia" w:ascii="宋体" w:hAnsi="宋体" w:eastAsia="宋体" w:cs="宋体"/>
                <w:sz w:val="28"/>
                <w:szCs w:val="28"/>
              </w:rPr>
              <w:t>元标准，省内伙食补助每人每天</w:t>
            </w:r>
            <w:r>
              <w:rPr>
                <w:sz w:val="28"/>
                <w:szCs w:val="28"/>
              </w:rPr>
              <w:t>100</w:t>
            </w:r>
            <w:r>
              <w:rPr>
                <w:rFonts w:hint="eastAsia" w:ascii="宋体" w:hAnsi="宋体" w:eastAsia="宋体" w:cs="宋体"/>
                <w:sz w:val="28"/>
                <w:szCs w:val="28"/>
              </w:rPr>
              <w:t>元标准，省外出差，执行财政部公布的分地区、分级别住宿费、伙食补助费限额标准。除伙食补助费和市内交通费按规定标准包干补助外，其他差旅费在限额标准内凭发票据实报销，超支部分由个人自理。</w:t>
            </w:r>
            <w:r>
              <w:rPr>
                <w:sz w:val="28"/>
                <w:szCs w:val="28"/>
              </w:rPr>
              <w:t>5</w:t>
            </w:r>
            <w:r>
              <w:rPr>
                <w:rFonts w:hint="eastAsia" w:ascii="宋体" w:hAnsi="宋体" w:eastAsia="宋体" w:cs="宋体"/>
                <w:sz w:val="28"/>
                <w:szCs w:val="28"/>
              </w:rPr>
              <w:t>、加强招待费管理。公务接待工作应当坚持有利公务、务实节俭、严格标准，从严从紧控制公务接待经费，不得擅自突破。厅级干部每人每天</w:t>
            </w:r>
            <w:r>
              <w:rPr>
                <w:sz w:val="28"/>
                <w:szCs w:val="28"/>
              </w:rPr>
              <w:t>120</w:t>
            </w:r>
            <w:r>
              <w:rPr>
                <w:rFonts w:hint="eastAsia" w:ascii="宋体" w:hAnsi="宋体" w:eastAsia="宋体" w:cs="宋体"/>
                <w:sz w:val="28"/>
                <w:szCs w:val="28"/>
              </w:rPr>
              <w:t>元、处级干部每人每天</w:t>
            </w:r>
            <w:r>
              <w:rPr>
                <w:sz w:val="28"/>
                <w:szCs w:val="28"/>
              </w:rPr>
              <w:t>100</w:t>
            </w:r>
            <w:r>
              <w:rPr>
                <w:rFonts w:hint="eastAsia" w:ascii="宋体" w:hAnsi="宋体" w:eastAsia="宋体" w:cs="宋体"/>
                <w:sz w:val="28"/>
                <w:szCs w:val="28"/>
              </w:rPr>
              <w:t>元、其他人员每人每天</w:t>
            </w:r>
            <w:r>
              <w:rPr>
                <w:sz w:val="28"/>
                <w:szCs w:val="28"/>
              </w:rPr>
              <w:t>80</w:t>
            </w:r>
            <w:r>
              <w:rPr>
                <w:rFonts w:hint="eastAsia" w:ascii="宋体" w:hAnsi="宋体" w:eastAsia="宋体" w:cs="宋体"/>
                <w:sz w:val="28"/>
                <w:szCs w:val="28"/>
              </w:rPr>
              <w:t>元。接待对象在</w:t>
            </w:r>
            <w:r>
              <w:rPr>
                <w:sz w:val="28"/>
                <w:szCs w:val="28"/>
              </w:rPr>
              <w:t>10</w:t>
            </w:r>
            <w:r>
              <w:rPr>
                <w:rFonts w:hint="eastAsia" w:ascii="宋体" w:hAnsi="宋体" w:eastAsia="宋体" w:cs="宋体"/>
                <w:sz w:val="28"/>
                <w:szCs w:val="28"/>
              </w:rPr>
              <w:t>人以内的，陪餐人数不得超过</w:t>
            </w:r>
            <w:r>
              <w:rPr>
                <w:sz w:val="28"/>
                <w:szCs w:val="28"/>
              </w:rPr>
              <w:t>3</w:t>
            </w:r>
            <w:r>
              <w:rPr>
                <w:rFonts w:hint="eastAsia" w:ascii="宋体" w:hAnsi="宋体" w:eastAsia="宋体" w:cs="宋体"/>
                <w:sz w:val="28"/>
                <w:szCs w:val="28"/>
              </w:rPr>
              <w:t>人，</w:t>
            </w:r>
            <w:r>
              <w:rPr>
                <w:sz w:val="28"/>
                <w:szCs w:val="28"/>
              </w:rPr>
              <w:t>10</w:t>
            </w:r>
            <w:r>
              <w:rPr>
                <w:rFonts w:hint="eastAsia" w:ascii="宋体" w:hAnsi="宋体" w:eastAsia="宋体" w:cs="宋体"/>
                <w:sz w:val="28"/>
                <w:szCs w:val="28"/>
              </w:rPr>
              <w:t>人以上的，不得超过接待对象人数的三分之一。确因工作需要的加班人员用餐，须填写加班人员用餐申报单，经办公室审核，报分管财务的局领导审批后方可报销，用餐标准为</w:t>
            </w:r>
            <w:r>
              <w:rPr>
                <w:sz w:val="28"/>
                <w:szCs w:val="28"/>
              </w:rPr>
              <w:t>40</w:t>
            </w:r>
            <w:r>
              <w:rPr>
                <w:rFonts w:hint="eastAsia" w:ascii="宋体" w:hAnsi="宋体" w:eastAsia="宋体" w:cs="宋体"/>
                <w:sz w:val="28"/>
                <w:szCs w:val="28"/>
              </w:rPr>
              <w:t>元</w:t>
            </w:r>
            <w:r>
              <w:rPr>
                <w:sz w:val="28"/>
                <w:szCs w:val="28"/>
              </w:rPr>
              <w:t>/</w:t>
            </w:r>
            <w:r>
              <w:rPr>
                <w:rFonts w:hint="eastAsia" w:ascii="宋体" w:hAnsi="宋体" w:eastAsia="宋体" w:cs="宋体"/>
                <w:sz w:val="28"/>
                <w:szCs w:val="28"/>
              </w:rPr>
              <w:t>人，超出费用自理。</w:t>
            </w:r>
            <w:r>
              <w:rPr>
                <w:sz w:val="28"/>
                <w:szCs w:val="28"/>
              </w:rPr>
              <w:t>6</w:t>
            </w:r>
            <w:r>
              <w:rPr>
                <w:rFonts w:hint="eastAsia" w:ascii="宋体" w:hAnsi="宋体" w:eastAsia="宋体" w:cs="宋体"/>
                <w:sz w:val="28"/>
                <w:szCs w:val="28"/>
              </w:rPr>
              <w:t>、要进一步加强公务用车日常使用管理，局机关车辆由办公室负责管理，二级机构由各单位办公室负责管理，单位主要负责人为车辆管理第一责任人。公车必须严格执行回单位停放制度，集中管理，统一调派。根据局务会要求，车辆日常需在指定位置停放，（见附表）重大节假日局机关所有公车必须停放在二办公楼指定停车场，二级机构停放在本单位指定停车位置。节假日期间除特殊工作需要外，所有公车应当封存停驶，不得使用，严禁分散管理使用，减少空驶，提高使用效率，避免浪费。严格执行公车定点维修、定点加油和定点保险的有关规定，要健全公务用车使用登记制度，严格执行维修申报制度，凡发现违规行为的，由局纪检部门追究有关当事人的责任。 三、资产管理情况</w:t>
            </w:r>
            <w:r>
              <w:rPr>
                <w:sz w:val="28"/>
                <w:szCs w:val="28"/>
              </w:rPr>
              <w:t>1</w:t>
            </w:r>
            <w:r>
              <w:rPr>
                <w:rFonts w:hint="eastAsia" w:ascii="宋体" w:hAnsi="宋体" w:eastAsia="宋体" w:cs="宋体"/>
                <w:sz w:val="28"/>
                <w:szCs w:val="28"/>
              </w:rPr>
              <w:t>、局机关办公室职责：制定机关资产规范管理的暂行办法；所有资产统一归口中心办公室汇总管理，组织并监督各科室按规定管理好科室资产，及时登记按时维护做好保管工作；年底组织所有科室进行局机关所有资产的盘点盘底工作。</w:t>
            </w:r>
            <w:r>
              <w:rPr>
                <w:sz w:val="28"/>
                <w:szCs w:val="28"/>
              </w:rPr>
              <w:t>2</w:t>
            </w:r>
            <w:r>
              <w:rPr>
                <w:rFonts w:hint="eastAsia" w:ascii="宋体" w:hAnsi="宋体" w:eastAsia="宋体" w:cs="宋体"/>
                <w:sz w:val="28"/>
                <w:szCs w:val="28"/>
              </w:rPr>
              <w:t>、局机关及设备负责人职责：负责人负责所有资产的登记及保管工作；如有变动，月底将变动情况交付给科室负责人，负责人核对数量、汇总同类资产数量及填写存放地点，及时盘点登记入账；负责人负责保管所有资产，如有借出、丢失或损坏等，及时登记资产出入情况并写明理由；科室负责人负责监督和复核。</w:t>
            </w:r>
            <w:r>
              <w:rPr>
                <w:sz w:val="28"/>
                <w:szCs w:val="28"/>
              </w:rPr>
              <w:t>3</w:t>
            </w:r>
            <w:r>
              <w:rPr>
                <w:rFonts w:hint="eastAsia" w:ascii="宋体" w:hAnsi="宋体" w:eastAsia="宋体" w:cs="宋体"/>
                <w:sz w:val="28"/>
                <w:szCs w:val="28"/>
              </w:rPr>
              <w:t>、局机关财务职责：财务负责政府采购固定资产的相关工作；财务负责每月登记录入财政资产管理平台，上交资产月表、年度资产决算表，建立好政府采购文件档案。</w:t>
            </w:r>
          </w:p>
        </w:tc>
      </w:tr>
      <w:tr w14:paraId="2EBCB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3284" w:type="dxa"/>
            <w:vMerge w:val="continue"/>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068DAAA9">
            <w:pPr>
              <w:rPr>
                <w:rFonts w:hint="eastAsia" w:ascii="宋体"/>
                <w:sz w:val="24"/>
                <w:szCs w:val="24"/>
              </w:rPr>
            </w:pPr>
          </w:p>
        </w:tc>
        <w:tc>
          <w:tcPr>
            <w:tcW w:w="6616" w:type="dxa"/>
            <w:gridSpan w:val="8"/>
            <w:vMerge w:val="continue"/>
            <w:tcBorders>
              <w:top w:val="nil"/>
              <w:left w:val="nil"/>
              <w:bottom w:val="single" w:color="00000A" w:sz="8" w:space="0"/>
              <w:right w:val="single" w:color="00000A" w:sz="8" w:space="0"/>
            </w:tcBorders>
            <w:tcMar>
              <w:top w:w="0" w:type="dxa"/>
              <w:left w:w="0" w:type="dxa"/>
              <w:bottom w:w="0" w:type="dxa"/>
              <w:right w:w="115" w:type="dxa"/>
            </w:tcMar>
            <w:vAlign w:val="center"/>
          </w:tcPr>
          <w:p w14:paraId="6323A11A">
            <w:pPr>
              <w:rPr>
                <w:rFonts w:hint="eastAsia" w:ascii="宋体"/>
                <w:sz w:val="24"/>
                <w:szCs w:val="24"/>
              </w:rPr>
            </w:pPr>
          </w:p>
        </w:tc>
      </w:tr>
      <w:tr w14:paraId="00553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3284" w:type="dxa"/>
            <w:vMerge w:val="restart"/>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56534541">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Style w:val="5"/>
                <w:rFonts w:hint="default" w:ascii="仿宋_GB2312" w:eastAsia="仿宋_GB2312" w:cs="仿宋_GB2312"/>
                <w:sz w:val="24"/>
                <w:szCs w:val="24"/>
              </w:rPr>
              <w:t>资产管理情况 反映部门资产的配置、管理、处置等综合情况。包括制 度建设、管理措施、配置处置的程序等</w:t>
            </w:r>
          </w:p>
        </w:tc>
        <w:tc>
          <w:tcPr>
            <w:tcW w:w="6616" w:type="dxa"/>
            <w:gridSpan w:val="8"/>
            <w:vMerge w:val="restart"/>
            <w:tcBorders>
              <w:top w:val="nil"/>
              <w:left w:val="nil"/>
              <w:bottom w:val="single" w:color="00000A" w:sz="8" w:space="0"/>
              <w:right w:val="single" w:color="00000A" w:sz="8" w:space="0"/>
            </w:tcBorders>
            <w:tcMar>
              <w:top w:w="0" w:type="dxa"/>
              <w:left w:w="0" w:type="dxa"/>
              <w:bottom w:w="0" w:type="dxa"/>
              <w:right w:w="115" w:type="dxa"/>
            </w:tcMar>
            <w:vAlign w:val="center"/>
          </w:tcPr>
          <w:p w14:paraId="0D93D89D">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rPr>
                <w:sz w:val="19"/>
                <w:szCs w:val="19"/>
              </w:rPr>
            </w:pPr>
            <w:r>
              <w:rPr>
                <w:rFonts w:hint="eastAsia" w:ascii="宋体" w:hAnsi="宋体" w:eastAsia="宋体" w:cs="宋体"/>
                <w:sz w:val="28"/>
                <w:szCs w:val="28"/>
              </w:rPr>
              <w:t>一是明确了各自职责：局机关办公室职责：制定机关资产规范管理的暂行办法；所有资产统一归口中心办公室汇总管理，组织并监督各科室按规定管理好科室资产，及时登记按时维护做好保管工作；年底组织所有科室进行局机关所有资产的盘点盘底工作。局机关及设备负责人职责：负责人负 责所有资产的登记及保管工作；如有变动，月底将变动情况交付给科室负责人，负责人核对数量、汇总同类资产数量及填写存放地点，及时盘点登记入账；负责人负 责保管所有资产，如有借出、丢失或损坏等，及时登记资产出入情况并写明理由；科室负责人负责监督和复核。局机关财务职责：对固定资产系统进行更新和完善，及时将新购置资产、已经处置资产录入资产系统，认真准确完成资产年报，确保固定资产账账相符、账证相符、账实相符。 二是明确了管理办法：对单价在</w:t>
            </w:r>
            <w:r>
              <w:rPr>
                <w:sz w:val="28"/>
                <w:szCs w:val="28"/>
              </w:rPr>
              <w:t>1000</w:t>
            </w:r>
            <w:r>
              <w:rPr>
                <w:rFonts w:hint="eastAsia" w:ascii="宋体" w:hAnsi="宋体" w:eastAsia="宋体" w:cs="宋体"/>
                <w:sz w:val="28"/>
                <w:szCs w:val="28"/>
              </w:rPr>
              <w:t>元以上、使用期限在</w:t>
            </w:r>
            <w:r>
              <w:rPr>
                <w:sz w:val="28"/>
                <w:szCs w:val="28"/>
              </w:rPr>
              <w:t>1</w:t>
            </w:r>
            <w:r>
              <w:rPr>
                <w:rFonts w:hint="eastAsia" w:ascii="宋体" w:hAnsi="宋体" w:eastAsia="宋体" w:cs="宋体"/>
                <w:sz w:val="28"/>
                <w:szCs w:val="28"/>
              </w:rPr>
              <w:t>年以上，基本保持物品形态的办公设备、生活设施和有关用具均列入固定资产名录。①凡属于政府采购目录范围内的工程、办公设备、办公家具等，根据单位固定资产情况，严格按照使用年限，遵行先报废再购置程序编制预算，说明购置依据和理由。采购一律按照《关于印发</w:t>
            </w:r>
            <w:r>
              <w:rPr>
                <w:sz w:val="28"/>
                <w:szCs w:val="28"/>
              </w:rPr>
              <w:t>&lt;</w:t>
            </w:r>
            <w:r>
              <w:rPr>
                <w:rFonts w:hint="eastAsia" w:ascii="宋体" w:hAnsi="宋体" w:eastAsia="宋体" w:cs="宋体"/>
                <w:sz w:val="28"/>
                <w:szCs w:val="28"/>
              </w:rPr>
              <w:t>长沙市市级行政事业单位通用资产配置标准</w:t>
            </w:r>
            <w:r>
              <w:rPr>
                <w:sz w:val="28"/>
                <w:szCs w:val="28"/>
              </w:rPr>
              <w:t>&gt;</w:t>
            </w:r>
            <w:r>
              <w:rPr>
                <w:rFonts w:hint="eastAsia" w:ascii="宋体" w:hAnsi="宋体" w:eastAsia="宋体" w:cs="宋体"/>
                <w:sz w:val="28"/>
                <w:szCs w:val="28"/>
              </w:rPr>
              <w:t>》（长财资产〔</w:t>
            </w:r>
            <w:r>
              <w:rPr>
                <w:sz w:val="28"/>
                <w:szCs w:val="28"/>
              </w:rPr>
              <w:t>2018</w:t>
            </w:r>
            <w:r>
              <w:rPr>
                <w:rFonts w:hint="eastAsia" w:ascii="宋体" w:hAnsi="宋体" w:eastAsia="宋体" w:cs="宋体"/>
                <w:sz w:val="28"/>
                <w:szCs w:val="28"/>
              </w:rPr>
              <w:t>〕</w:t>
            </w:r>
            <w:r>
              <w:rPr>
                <w:sz w:val="28"/>
                <w:szCs w:val="28"/>
              </w:rPr>
              <w:t>33</w:t>
            </w:r>
            <w:r>
              <w:rPr>
                <w:rFonts w:hint="eastAsia" w:ascii="宋体" w:hAnsi="宋体" w:eastAsia="宋体" w:cs="宋体"/>
                <w:sz w:val="28"/>
                <w:szCs w:val="28"/>
              </w:rPr>
              <w:t>号），按规定程序进行采购、报账，列入固定资产总账。②保管。由办公室对配置资产进行登记，建立资产卡片，将相关信息录入资产管理信息系统，实行一物一条码，专人使用专人保管。③处置。固定资产的调配、处置、报废，由办公室按有关规定和程序统一处理，任何人不得私自处理。④清查。由办公室定期对资产进行清查盘点，做到账实相符，保持账、物、卡一致。对报废、损坏、遗失等盘亏的固定资产，查明原因，按程序报主管部门、市财政局处置。</w:t>
            </w:r>
          </w:p>
        </w:tc>
      </w:tr>
      <w:tr w14:paraId="64DC6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3284" w:type="dxa"/>
            <w:vMerge w:val="continue"/>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51AE7C29">
            <w:pPr>
              <w:rPr>
                <w:rFonts w:hint="eastAsia" w:ascii="宋体"/>
                <w:sz w:val="24"/>
                <w:szCs w:val="24"/>
              </w:rPr>
            </w:pPr>
          </w:p>
        </w:tc>
        <w:tc>
          <w:tcPr>
            <w:tcW w:w="6616" w:type="dxa"/>
            <w:gridSpan w:val="8"/>
            <w:vMerge w:val="continue"/>
            <w:tcBorders>
              <w:top w:val="nil"/>
              <w:left w:val="nil"/>
              <w:bottom w:val="single" w:color="00000A" w:sz="8" w:space="0"/>
              <w:right w:val="single" w:color="00000A" w:sz="8" w:space="0"/>
            </w:tcBorders>
            <w:tcMar>
              <w:top w:w="0" w:type="dxa"/>
              <w:left w:w="0" w:type="dxa"/>
              <w:bottom w:w="0" w:type="dxa"/>
              <w:right w:w="115" w:type="dxa"/>
            </w:tcMar>
            <w:vAlign w:val="center"/>
          </w:tcPr>
          <w:p w14:paraId="3C3F24FD">
            <w:pPr>
              <w:rPr>
                <w:rFonts w:hint="eastAsia" w:ascii="宋体"/>
                <w:sz w:val="24"/>
                <w:szCs w:val="24"/>
              </w:rPr>
            </w:pPr>
          </w:p>
        </w:tc>
      </w:tr>
      <w:tr w14:paraId="57BA1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3284" w:type="dxa"/>
            <w:vMerge w:val="continue"/>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6BC9AC0B">
            <w:pPr>
              <w:rPr>
                <w:rFonts w:hint="eastAsia" w:ascii="宋体"/>
                <w:sz w:val="24"/>
                <w:szCs w:val="24"/>
              </w:rPr>
            </w:pPr>
          </w:p>
        </w:tc>
        <w:tc>
          <w:tcPr>
            <w:tcW w:w="6616" w:type="dxa"/>
            <w:gridSpan w:val="8"/>
            <w:vMerge w:val="continue"/>
            <w:tcBorders>
              <w:top w:val="nil"/>
              <w:left w:val="nil"/>
              <w:bottom w:val="single" w:color="00000A" w:sz="8" w:space="0"/>
              <w:right w:val="single" w:color="00000A" w:sz="8" w:space="0"/>
            </w:tcBorders>
            <w:tcMar>
              <w:top w:w="0" w:type="dxa"/>
              <w:left w:w="0" w:type="dxa"/>
              <w:bottom w:w="0" w:type="dxa"/>
              <w:right w:w="115" w:type="dxa"/>
            </w:tcMar>
            <w:vAlign w:val="center"/>
          </w:tcPr>
          <w:p w14:paraId="60758549">
            <w:pPr>
              <w:rPr>
                <w:rFonts w:hint="eastAsia" w:ascii="宋体"/>
                <w:sz w:val="24"/>
                <w:szCs w:val="24"/>
              </w:rPr>
            </w:pPr>
          </w:p>
        </w:tc>
      </w:tr>
      <w:tr w14:paraId="487EA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3284" w:type="dxa"/>
            <w:vMerge w:val="continue"/>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2080AF7C">
            <w:pPr>
              <w:rPr>
                <w:rFonts w:hint="eastAsia" w:ascii="宋体"/>
                <w:sz w:val="24"/>
                <w:szCs w:val="24"/>
              </w:rPr>
            </w:pPr>
          </w:p>
        </w:tc>
        <w:tc>
          <w:tcPr>
            <w:tcW w:w="6616" w:type="dxa"/>
            <w:gridSpan w:val="8"/>
            <w:vMerge w:val="continue"/>
            <w:tcBorders>
              <w:top w:val="nil"/>
              <w:left w:val="nil"/>
              <w:bottom w:val="single" w:color="00000A" w:sz="8" w:space="0"/>
              <w:right w:val="single" w:color="00000A" w:sz="8" w:space="0"/>
            </w:tcBorders>
            <w:tcMar>
              <w:top w:w="0" w:type="dxa"/>
              <w:left w:w="0" w:type="dxa"/>
              <w:bottom w:w="0" w:type="dxa"/>
              <w:right w:w="115" w:type="dxa"/>
            </w:tcMar>
            <w:vAlign w:val="center"/>
          </w:tcPr>
          <w:p w14:paraId="7C4C91EA">
            <w:pPr>
              <w:rPr>
                <w:rFonts w:hint="eastAsia" w:ascii="宋体"/>
                <w:sz w:val="24"/>
                <w:szCs w:val="24"/>
              </w:rPr>
            </w:pPr>
          </w:p>
        </w:tc>
      </w:tr>
      <w:tr w14:paraId="068D3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81" w:hRule="atLeast"/>
          <w:jc w:val="center"/>
        </w:trPr>
        <w:tc>
          <w:tcPr>
            <w:tcW w:w="3284" w:type="dxa"/>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76962B3B">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Style w:val="5"/>
                <w:rFonts w:hint="default" w:ascii="仿宋_GB2312" w:eastAsia="仿宋_GB2312" w:cs="仿宋_GB2312"/>
                <w:sz w:val="24"/>
                <w:szCs w:val="24"/>
              </w:rPr>
              <w:t>部门整体支出绩效情况 反映部门履职及履职效益情况</w:t>
            </w:r>
          </w:p>
        </w:tc>
        <w:tc>
          <w:tcPr>
            <w:tcW w:w="6616" w:type="dxa"/>
            <w:gridSpan w:val="8"/>
            <w:tcBorders>
              <w:top w:val="nil"/>
              <w:left w:val="nil"/>
              <w:bottom w:val="single" w:color="00000A" w:sz="8" w:space="0"/>
              <w:right w:val="single" w:color="00000A" w:sz="8" w:space="0"/>
            </w:tcBorders>
            <w:tcMar>
              <w:top w:w="0" w:type="dxa"/>
              <w:left w:w="0" w:type="dxa"/>
              <w:bottom w:w="0" w:type="dxa"/>
              <w:right w:w="115" w:type="dxa"/>
            </w:tcMar>
            <w:vAlign w:val="center"/>
          </w:tcPr>
          <w:p w14:paraId="3CD725D5">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rPr>
                <w:sz w:val="19"/>
                <w:szCs w:val="19"/>
              </w:rPr>
            </w:pPr>
            <w:r>
              <w:rPr>
                <w:sz w:val="28"/>
                <w:szCs w:val="28"/>
              </w:rPr>
              <w:t>2019</w:t>
            </w:r>
            <w:r>
              <w:rPr>
                <w:rFonts w:hint="eastAsia" w:ascii="宋体" w:hAnsi="宋体" w:eastAsia="宋体" w:cs="宋体"/>
                <w:sz w:val="28"/>
                <w:szCs w:val="28"/>
              </w:rPr>
              <w:t>年，在市委、市政府的坚强领导和市委组织部的精心指导下，全市老干部工作以习近平新时代中国特色社会主义思想为指导，紧贴中心大局、聚焦主业主责、统筹协调推进，开启了老干部工作高质量发展的新征程。市关工委“青少年极端行为的预防和转化”典型经验获得中国关工委主任顾秀莲批示肯定。市老干部大学成为全国老年教育理论研究基地，教学大纲获评全国“一等奖”。市老干部活动中心荣获“长沙市公共机构生活垃圾分类示范单位”称号。《人民日报》等国家级媒体多次对长沙“五老”事迹进行推介。 一、坚持党建引领，筑牢思想政治根基</w:t>
            </w:r>
            <w:r>
              <w:rPr>
                <w:sz w:val="28"/>
                <w:szCs w:val="28"/>
              </w:rPr>
              <w:t>1.</w:t>
            </w:r>
            <w:r>
              <w:rPr>
                <w:rFonts w:hint="eastAsia" w:ascii="宋体" w:hAnsi="宋体" w:eastAsia="宋体" w:cs="宋体"/>
                <w:sz w:val="28"/>
                <w:szCs w:val="28"/>
              </w:rPr>
              <w:t>主题教育砥砺初心。认真组织全市离退休干部党员开展“不忘初心、牢记使命”主题教育，坚持打造“银发先锋大课堂”，用习近平新时代中国特色社会主义思想武装头脑。举办“话初心、守初心、践初心”座谈会，组织老干部形势报告会，召开主题教育调研成果交流会。与市委组织部联合开展“百场报告进基层，携手奋进新时代”主题宣讲</w:t>
            </w:r>
            <w:r>
              <w:rPr>
                <w:sz w:val="28"/>
                <w:szCs w:val="28"/>
              </w:rPr>
              <w:t>,</w:t>
            </w:r>
            <w:r>
              <w:rPr>
                <w:rFonts w:hint="eastAsia" w:ascii="宋体" w:hAnsi="宋体" w:eastAsia="宋体" w:cs="宋体"/>
                <w:sz w:val="28"/>
                <w:szCs w:val="28"/>
              </w:rPr>
              <w:t>组织老同志现身说法，用当前的形势政策引导人，用身边的鲜活事例感召人，用自己的心路历程感化人，共宣讲</w:t>
            </w:r>
            <w:r>
              <w:rPr>
                <w:sz w:val="28"/>
                <w:szCs w:val="28"/>
              </w:rPr>
              <w:t>201</w:t>
            </w:r>
            <w:r>
              <w:rPr>
                <w:rFonts w:hint="eastAsia" w:ascii="宋体" w:hAnsi="宋体" w:eastAsia="宋体" w:cs="宋体"/>
                <w:sz w:val="28"/>
                <w:szCs w:val="28"/>
              </w:rPr>
              <w:t>场次，受众</w:t>
            </w:r>
            <w:r>
              <w:rPr>
                <w:sz w:val="28"/>
                <w:szCs w:val="28"/>
              </w:rPr>
              <w:t>2</w:t>
            </w:r>
            <w:r>
              <w:rPr>
                <w:rFonts w:hint="eastAsia" w:ascii="宋体" w:hAnsi="宋体" w:eastAsia="宋体" w:cs="宋体"/>
                <w:sz w:val="28"/>
                <w:szCs w:val="28"/>
              </w:rPr>
              <w:t>万余人，引导广大老同志增强“四个意识”、坚定“四个自信”、做到“两个维护”，以永不褪色的政治本色和使命担当发挥“传帮带”作用助推主题教育行稳致远。</w:t>
            </w:r>
            <w:r>
              <w:rPr>
                <w:sz w:val="28"/>
                <w:szCs w:val="28"/>
              </w:rPr>
              <w:t>2.“</w:t>
            </w:r>
            <w:r>
              <w:rPr>
                <w:rFonts w:hint="eastAsia" w:ascii="宋体" w:hAnsi="宋体" w:eastAsia="宋体" w:cs="宋体"/>
                <w:sz w:val="28"/>
                <w:szCs w:val="28"/>
              </w:rPr>
              <w:t>五化”建设夯实堡垒。按照“点上突破、线上拉动、面上覆盖、质上提高”的原则，积极开展“五化”离退休干部党支部示范点创建活动，在浏阳市召开党建工作现场会，扎实推进基层离退休干部党组织标准化建设。在小区楼宇、涉老团体、网站微信等设置地缘型、趣缘型、网缘型党组织，确保离退休干部党员教育管理有效覆盖。通过网络直播方式组织全市离退休党支部集中开展主题教育党日活动，全市</w:t>
            </w:r>
            <w:r>
              <w:rPr>
                <w:sz w:val="28"/>
                <w:szCs w:val="28"/>
              </w:rPr>
              <w:t>5</w:t>
            </w:r>
            <w:r>
              <w:rPr>
                <w:rFonts w:hint="eastAsia" w:ascii="宋体" w:hAnsi="宋体" w:eastAsia="宋体" w:cs="宋体"/>
                <w:sz w:val="28"/>
                <w:szCs w:val="28"/>
              </w:rPr>
              <w:t>万余名离退休干部党员参加。举办全市党建专干的业务培训，全面轮训全市</w:t>
            </w:r>
            <w:r>
              <w:rPr>
                <w:sz w:val="28"/>
                <w:szCs w:val="28"/>
              </w:rPr>
              <w:t>1000</w:t>
            </w:r>
            <w:r>
              <w:rPr>
                <w:rFonts w:hint="eastAsia" w:ascii="宋体" w:hAnsi="宋体" w:eastAsia="宋体" w:cs="宋体"/>
                <w:sz w:val="28"/>
                <w:szCs w:val="28"/>
              </w:rPr>
              <w:t>多名离退休党组织书记，有效提升管党治党的能力和水平，在新时代党建大格局中树立“银发党建”品牌。</w:t>
            </w:r>
            <w:r>
              <w:rPr>
                <w:sz w:val="28"/>
                <w:szCs w:val="28"/>
              </w:rPr>
              <w:t>3.</w:t>
            </w:r>
            <w:r>
              <w:rPr>
                <w:rFonts w:hint="eastAsia" w:ascii="宋体" w:hAnsi="宋体" w:eastAsia="宋体" w:cs="宋体"/>
                <w:sz w:val="28"/>
                <w:szCs w:val="28"/>
              </w:rPr>
              <w:t>榜样之光点亮星城。召开全市离退休干部党员“七一”庆祝大会，集中表彰一批优秀党务工作者、优秀共产党员和先进党组织。联合长沙晚报开辟“寻访身边的老共产党员”专栏，连续推介李铁军等</w:t>
            </w:r>
            <w:r>
              <w:rPr>
                <w:sz w:val="28"/>
                <w:szCs w:val="28"/>
              </w:rPr>
              <w:t>13</w:t>
            </w:r>
            <w:r>
              <w:rPr>
                <w:rFonts w:hint="eastAsia" w:ascii="宋体" w:hAnsi="宋体" w:eastAsia="宋体" w:cs="宋体"/>
                <w:sz w:val="28"/>
                <w:szCs w:val="28"/>
              </w:rPr>
              <w:t>位优秀老党员代表。“五老”邓学东、刘新民获评“全国离退休干部先进个人”、池凤英获评“全国最美志愿者”、徐佐林获评“全国模范退役军人”；甘厚美获评“湖南省优秀共产党员”，王湘莲等</w:t>
            </w:r>
            <w:r>
              <w:rPr>
                <w:sz w:val="28"/>
                <w:szCs w:val="28"/>
              </w:rPr>
              <w:t>3</w:t>
            </w:r>
            <w:r>
              <w:rPr>
                <w:rFonts w:hint="eastAsia" w:ascii="宋体" w:hAnsi="宋体" w:eastAsia="宋体" w:cs="宋体"/>
                <w:sz w:val="28"/>
                <w:szCs w:val="28"/>
              </w:rPr>
              <w:t>人获评“湖南好人”；刘耀杰等</w:t>
            </w:r>
            <w:r>
              <w:rPr>
                <w:sz w:val="28"/>
                <w:szCs w:val="28"/>
              </w:rPr>
              <w:t>10</w:t>
            </w:r>
            <w:r>
              <w:rPr>
                <w:rFonts w:hint="eastAsia" w:ascii="宋体" w:hAnsi="宋体" w:eastAsia="宋体" w:cs="宋体"/>
                <w:sz w:val="28"/>
                <w:szCs w:val="28"/>
              </w:rPr>
              <w:t>人被聘为长沙市党员教育培训骨干讲师，范并恕等</w:t>
            </w:r>
            <w:r>
              <w:rPr>
                <w:sz w:val="28"/>
                <w:szCs w:val="28"/>
              </w:rPr>
              <w:t>5</w:t>
            </w:r>
            <w:r>
              <w:rPr>
                <w:rFonts w:hint="eastAsia" w:ascii="宋体" w:hAnsi="宋体" w:eastAsia="宋体" w:cs="宋体"/>
                <w:sz w:val="28"/>
                <w:szCs w:val="28"/>
              </w:rPr>
              <w:t>人荣获全市第四批“最美基层理论宣讲人”。市关工委举办“双十佳”总结评选活动，推介一批“十佳五老”、“十佳载体”和“五好关工委”。“点亮一盏灯、照亮一大片”的辐射效应全面凸显。 二、突出服务大局，彰显银发“益”族作为</w:t>
            </w:r>
            <w:r>
              <w:rPr>
                <w:sz w:val="28"/>
                <w:szCs w:val="28"/>
              </w:rPr>
              <w:t>1.</w:t>
            </w:r>
            <w:r>
              <w:rPr>
                <w:rFonts w:hint="eastAsia" w:ascii="宋体" w:hAnsi="宋体" w:eastAsia="宋体" w:cs="宋体"/>
                <w:sz w:val="28"/>
                <w:szCs w:val="28"/>
              </w:rPr>
              <w:t>围绕中心展现“长沙担当”。围绕“庆祝新中国成立</w:t>
            </w:r>
            <w:r>
              <w:rPr>
                <w:sz w:val="28"/>
                <w:szCs w:val="28"/>
              </w:rPr>
              <w:t>70</w:t>
            </w:r>
            <w:r>
              <w:rPr>
                <w:rFonts w:hint="eastAsia" w:ascii="宋体" w:hAnsi="宋体" w:eastAsia="宋体" w:cs="宋体"/>
                <w:sz w:val="28"/>
                <w:szCs w:val="28"/>
              </w:rPr>
              <w:t>周年”“三大攻坚战”“产业项目建设年、营商环境优化年”等中心工作，组织省、市级老领导视察长沙经济社会发展，召开“我看新中国成立</w:t>
            </w:r>
            <w:r>
              <w:rPr>
                <w:sz w:val="28"/>
                <w:szCs w:val="28"/>
              </w:rPr>
              <w:t>70</w:t>
            </w:r>
            <w:r>
              <w:rPr>
                <w:rFonts w:hint="eastAsia" w:ascii="宋体" w:hAnsi="宋体" w:eastAsia="宋体" w:cs="宋体"/>
                <w:sz w:val="28"/>
                <w:szCs w:val="28"/>
              </w:rPr>
              <w:t>周年新成就”调研座谈会，做好“</w:t>
            </w:r>
            <w:r>
              <w:rPr>
                <w:rFonts w:hint="eastAsia" w:ascii="宋体" w:hAnsi="宋体" w:cs="宋体"/>
                <w:sz w:val="28"/>
                <w:szCs w:val="28"/>
                <w:lang w:eastAsia="zh-CN"/>
              </w:rPr>
              <w:t>庆祝</w:t>
            </w:r>
            <w:r>
              <w:rPr>
                <w:rFonts w:hint="eastAsia" w:ascii="宋体" w:hAnsi="宋体" w:eastAsia="宋体" w:cs="宋体"/>
                <w:sz w:val="28"/>
                <w:szCs w:val="28"/>
              </w:rPr>
              <w:t>中华人民共和国成立</w:t>
            </w:r>
            <w:r>
              <w:rPr>
                <w:sz w:val="28"/>
                <w:szCs w:val="28"/>
              </w:rPr>
              <w:t>70</w:t>
            </w:r>
            <w:r>
              <w:rPr>
                <w:rFonts w:hint="eastAsia" w:ascii="宋体" w:hAnsi="宋体" w:eastAsia="宋体" w:cs="宋体"/>
                <w:sz w:val="28"/>
                <w:szCs w:val="28"/>
              </w:rPr>
              <w:t>周年”</w:t>
            </w:r>
            <w:r>
              <w:rPr>
                <w:rFonts w:hint="eastAsia" w:ascii="宋体" w:hAnsi="宋体" w:cs="宋体"/>
                <w:sz w:val="28"/>
                <w:szCs w:val="28"/>
                <w:lang w:eastAsia="zh-CN"/>
              </w:rPr>
              <w:t>庆祝</w:t>
            </w:r>
            <w:r>
              <w:rPr>
                <w:rFonts w:hint="eastAsia" w:ascii="宋体" w:hAnsi="宋体" w:eastAsia="宋体" w:cs="宋体"/>
                <w:sz w:val="28"/>
                <w:szCs w:val="28"/>
              </w:rPr>
              <w:t>章发放工作，组织银发专家助力产业扶贫，引导老同志体验美好生活，畅谈发展变化，凝聚前进力量。以“礼赞新中国，奋进新时代”为主题，引导涉老组织开展优秀讲稿征集评选、</w:t>
            </w:r>
            <w:r>
              <w:rPr>
                <w:sz w:val="28"/>
                <w:szCs w:val="28"/>
              </w:rPr>
              <w:t>70</w:t>
            </w:r>
            <w:r>
              <w:rPr>
                <w:rFonts w:hint="eastAsia" w:ascii="宋体" w:hAnsi="宋体" w:eastAsia="宋体" w:cs="宋体"/>
                <w:sz w:val="28"/>
                <w:szCs w:val="28"/>
              </w:rPr>
              <w:t>周年书画展、“百名老干颂祖国”征文、科普报告团进基层、争做阳光老人系列活动，引导老同志积极为新中国成立</w:t>
            </w:r>
            <w:r>
              <w:rPr>
                <w:sz w:val="28"/>
                <w:szCs w:val="28"/>
              </w:rPr>
              <w:t>70</w:t>
            </w:r>
            <w:r>
              <w:rPr>
                <w:rFonts w:hint="eastAsia" w:ascii="宋体" w:hAnsi="宋体" w:eastAsia="宋体" w:cs="宋体"/>
                <w:sz w:val="28"/>
                <w:szCs w:val="28"/>
              </w:rPr>
              <w:t>周年大庆书写精彩答卷。</w:t>
            </w:r>
            <w:r>
              <w:rPr>
                <w:sz w:val="28"/>
                <w:szCs w:val="28"/>
              </w:rPr>
              <w:t>2.</w:t>
            </w:r>
            <w:r>
              <w:rPr>
                <w:rFonts w:hint="eastAsia" w:ascii="宋体" w:hAnsi="宋体" w:eastAsia="宋体" w:cs="宋体"/>
                <w:sz w:val="28"/>
                <w:szCs w:val="28"/>
              </w:rPr>
              <w:t>志愿服务讲述“长沙故事”。组建长沙市“五老红”志愿服务总队，首创《长沙市“五老”志愿者星级评定及礼遇办法》，打造“线上</w:t>
            </w:r>
            <w:r>
              <w:rPr>
                <w:sz w:val="28"/>
                <w:szCs w:val="28"/>
              </w:rPr>
              <w:t>+</w:t>
            </w:r>
            <w:r>
              <w:rPr>
                <w:rFonts w:hint="eastAsia" w:ascii="宋体" w:hAnsi="宋体" w:eastAsia="宋体" w:cs="宋体"/>
                <w:sz w:val="28"/>
                <w:szCs w:val="28"/>
              </w:rPr>
              <w:t>线下”服务模式，探索志愿服务嘉许机制，引导全市广大“五老”积极投身公益宣讲、社会治理、移风易俗、垃圾分类等工作，为推进国家治理体系和治理能力现代化贡献智慧和力量。全年各级“五老”开展宣讲</w:t>
            </w:r>
            <w:r>
              <w:rPr>
                <w:sz w:val="28"/>
                <w:szCs w:val="28"/>
              </w:rPr>
              <w:t>3200</w:t>
            </w:r>
            <w:r>
              <w:rPr>
                <w:rFonts w:hint="eastAsia" w:ascii="宋体" w:hAnsi="宋体" w:eastAsia="宋体" w:cs="宋体"/>
                <w:sz w:val="28"/>
                <w:szCs w:val="28"/>
              </w:rPr>
              <w:t>余场次，受众</w:t>
            </w:r>
            <w:r>
              <w:rPr>
                <w:sz w:val="28"/>
                <w:szCs w:val="28"/>
              </w:rPr>
              <w:t>29</w:t>
            </w:r>
            <w:r>
              <w:rPr>
                <w:rFonts w:hint="eastAsia" w:ascii="宋体" w:hAnsi="宋体" w:eastAsia="宋体" w:cs="宋体"/>
                <w:sz w:val="28"/>
                <w:szCs w:val="28"/>
              </w:rPr>
              <w:t>万余人次。组织开展“五老”元旦春节“五讲”、“传承雷锋精神，当好风范长者”、“文明祭祀、绿色清明”、“一十百千”环保志愿服务等活动。《中国老年报》先后</w:t>
            </w:r>
            <w:r>
              <w:rPr>
                <w:sz w:val="28"/>
                <w:szCs w:val="28"/>
              </w:rPr>
              <w:t>16</w:t>
            </w:r>
            <w:r>
              <w:rPr>
                <w:rFonts w:hint="eastAsia" w:ascii="宋体" w:hAnsi="宋体" w:eastAsia="宋体" w:cs="宋体"/>
                <w:sz w:val="28"/>
                <w:szCs w:val="28"/>
              </w:rPr>
              <w:t>次（</w:t>
            </w:r>
            <w:r>
              <w:rPr>
                <w:sz w:val="28"/>
                <w:szCs w:val="28"/>
              </w:rPr>
              <w:t>10</w:t>
            </w:r>
            <w:r>
              <w:rPr>
                <w:rFonts w:hint="eastAsia" w:ascii="宋体" w:hAnsi="宋体" w:eastAsia="宋体" w:cs="宋体"/>
                <w:sz w:val="28"/>
                <w:szCs w:val="28"/>
              </w:rPr>
              <w:t>次头版）推介长沙老同志志愿服务蔚然成风的靓丽风景。</w:t>
            </w:r>
            <w:r>
              <w:rPr>
                <w:sz w:val="28"/>
                <w:szCs w:val="28"/>
              </w:rPr>
              <w:t>3.</w:t>
            </w:r>
            <w:r>
              <w:rPr>
                <w:rFonts w:hint="eastAsia" w:ascii="宋体" w:hAnsi="宋体" w:eastAsia="宋体" w:cs="宋体"/>
                <w:sz w:val="28"/>
                <w:szCs w:val="28"/>
              </w:rPr>
              <w:t>厚德育人开创“长沙经验”。市关工委开展“腾飞中国、辉煌</w:t>
            </w:r>
            <w:r>
              <w:rPr>
                <w:sz w:val="28"/>
                <w:szCs w:val="28"/>
              </w:rPr>
              <w:t>70</w:t>
            </w:r>
            <w:r>
              <w:rPr>
                <w:rFonts w:hint="eastAsia" w:ascii="宋体" w:hAnsi="宋体" w:eastAsia="宋体" w:cs="宋体"/>
                <w:sz w:val="28"/>
                <w:szCs w:val="28"/>
              </w:rPr>
              <w:t>年”主题宣讲、“传承红色基因，争做时代新人”征文比赛、“祖国在我心中”文艺展演等活动，坚持不懈教育引导广大青少年听党话、跟党走，扣好人生“第一粒扣子”。有效融入精准扶贫工作大局，全市各级关工委共投入助学助困经费</w:t>
            </w:r>
            <w:r>
              <w:rPr>
                <w:sz w:val="28"/>
                <w:szCs w:val="28"/>
              </w:rPr>
              <w:t>1300</w:t>
            </w:r>
            <w:r>
              <w:rPr>
                <w:rFonts w:hint="eastAsia" w:ascii="宋体" w:hAnsi="宋体" w:eastAsia="宋体" w:cs="宋体"/>
                <w:sz w:val="28"/>
                <w:szCs w:val="28"/>
              </w:rPr>
              <w:t>余万元，动员社会力量投入</w:t>
            </w:r>
            <w:r>
              <w:rPr>
                <w:sz w:val="28"/>
                <w:szCs w:val="28"/>
              </w:rPr>
              <w:t>1600</w:t>
            </w:r>
            <w:r>
              <w:rPr>
                <w:rFonts w:hint="eastAsia" w:ascii="宋体" w:hAnsi="宋体" w:eastAsia="宋体" w:cs="宋体"/>
                <w:sz w:val="28"/>
                <w:szCs w:val="28"/>
              </w:rPr>
              <w:t>余万元，资助青少年达</w:t>
            </w:r>
            <w:r>
              <w:rPr>
                <w:sz w:val="28"/>
                <w:szCs w:val="28"/>
              </w:rPr>
              <w:t>4</w:t>
            </w:r>
            <w:r>
              <w:rPr>
                <w:rFonts w:hint="eastAsia" w:ascii="宋体" w:hAnsi="宋体" w:eastAsia="宋体" w:cs="宋体"/>
                <w:sz w:val="28"/>
                <w:szCs w:val="28"/>
              </w:rPr>
              <w:t>万余人。热忱助力创建“儿童友好型城市”，编印出版《长沙市关工委创建儿童友好型城市创新案例集》。积极探索新形势下青少年极端行为预防和转化工作，“长沙经验”在全国部分城市关心下一代工作座谈会上作典型发言予以推广。 三、丰富内涵外延，引领文化养老风尚</w:t>
            </w:r>
            <w:r>
              <w:rPr>
                <w:sz w:val="28"/>
                <w:szCs w:val="28"/>
              </w:rPr>
              <w:t>1.</w:t>
            </w:r>
            <w:r>
              <w:rPr>
                <w:rFonts w:hint="eastAsia" w:ascii="宋体" w:hAnsi="宋体" w:eastAsia="宋体" w:cs="宋体"/>
                <w:sz w:val="28"/>
                <w:szCs w:val="28"/>
              </w:rPr>
              <w:t>突出政治功能强阵地。市老干部大学始终高扬“政治立校，党建引领”旗帜，举行“银发学子颂党恩，放声高歌赞祖国”主题党日活动，组织</w:t>
            </w:r>
            <w:r>
              <w:rPr>
                <w:sz w:val="28"/>
                <w:szCs w:val="28"/>
              </w:rPr>
              <w:t>60</w:t>
            </w:r>
            <w:r>
              <w:rPr>
                <w:rFonts w:hint="eastAsia" w:ascii="宋体" w:hAnsi="宋体" w:eastAsia="宋体" w:cs="宋体"/>
                <w:sz w:val="28"/>
                <w:szCs w:val="28"/>
              </w:rPr>
              <w:t>个临时党支部开展“不忘初心、牢记使命”主题教育，编印《思想政治教育》资料，利用党建园地、学习宣传窗、《党建通讯》、《枫叶》校报等载体传播党的声音。市老干部活动中心突出思想政治建设主线，将主题教育扩展到老干部兴趣团队临时党支部，开展“红歌汇——我和我的祖国”快闪等主题党日活动，组织“不忘初心勇担使命”青年岗位技能大赛，通过“红书签•爱满星城”活动为对口扶贫村捐赠图书，切实加强阵地党建工作，获评长沙市直机关基层党支部主题党日优秀案例。</w:t>
            </w:r>
            <w:r>
              <w:rPr>
                <w:sz w:val="28"/>
                <w:szCs w:val="28"/>
              </w:rPr>
              <w:t>2.</w:t>
            </w:r>
            <w:r>
              <w:rPr>
                <w:rFonts w:hint="eastAsia" w:ascii="宋体" w:hAnsi="宋体" w:eastAsia="宋体" w:cs="宋体"/>
                <w:sz w:val="28"/>
                <w:szCs w:val="28"/>
              </w:rPr>
              <w:t>坚持提质增效重内涵。市老干部大学坚持“专家治校、名师执教、学员自治”，发挥“全国老年教育理论研究基地”功能，《老年教育课堂教学论》得到业内专家学者和兄弟院校的广泛好评和推广。建立全市老年教育师资库，举办基层老干部教育工作培训班。全年各级老干部（老年）大学开设课程</w:t>
            </w:r>
            <w:r>
              <w:rPr>
                <w:sz w:val="28"/>
                <w:szCs w:val="28"/>
              </w:rPr>
              <w:t>277</w:t>
            </w:r>
            <w:r>
              <w:rPr>
                <w:rFonts w:hint="eastAsia" w:ascii="宋体" w:hAnsi="宋体" w:eastAsia="宋体" w:cs="宋体"/>
                <w:sz w:val="28"/>
                <w:szCs w:val="28"/>
              </w:rPr>
              <w:t>门，学员</w:t>
            </w:r>
            <w:r>
              <w:rPr>
                <w:sz w:val="28"/>
                <w:szCs w:val="28"/>
              </w:rPr>
              <w:t>5.6</w:t>
            </w:r>
            <w:r>
              <w:rPr>
                <w:rFonts w:hint="eastAsia" w:ascii="宋体" w:hAnsi="宋体" w:eastAsia="宋体" w:cs="宋体"/>
                <w:sz w:val="28"/>
                <w:szCs w:val="28"/>
              </w:rPr>
              <w:t>万人次。其中，市老干部大学开设课程</w:t>
            </w:r>
            <w:r>
              <w:rPr>
                <w:sz w:val="28"/>
                <w:szCs w:val="28"/>
              </w:rPr>
              <w:t>72</w:t>
            </w:r>
            <w:r>
              <w:rPr>
                <w:rFonts w:hint="eastAsia" w:ascii="宋体" w:hAnsi="宋体" w:eastAsia="宋体" w:cs="宋体"/>
                <w:sz w:val="28"/>
                <w:szCs w:val="28"/>
              </w:rPr>
              <w:t>门，学员</w:t>
            </w:r>
            <w:r>
              <w:rPr>
                <w:sz w:val="28"/>
                <w:szCs w:val="28"/>
              </w:rPr>
              <w:t>2.2</w:t>
            </w:r>
            <w:r>
              <w:rPr>
                <w:rFonts w:hint="eastAsia" w:ascii="宋体" w:hAnsi="宋体" w:eastAsia="宋体" w:cs="宋体"/>
                <w:sz w:val="28"/>
                <w:szCs w:val="28"/>
              </w:rPr>
              <w:t>万人次。市老干部活动中心围绕“文化养老、健康养老、价值养老”，突出提升承载功能，狠抓基础设施改造，优化场馆服务流程，建设“乐龄”志愿者服务站，探索湿垃圾资源化利用，举办迎春嘉年华、厅级老干部季度兴趣赛、爱国电影展播、乐龄风采展示等活动，全年接待老同志活动</w:t>
            </w:r>
            <w:r>
              <w:rPr>
                <w:sz w:val="28"/>
                <w:szCs w:val="28"/>
              </w:rPr>
              <w:t>12.47</w:t>
            </w:r>
            <w:r>
              <w:rPr>
                <w:rFonts w:hint="eastAsia" w:ascii="宋体" w:hAnsi="宋体" w:eastAsia="宋体" w:cs="宋体"/>
                <w:sz w:val="28"/>
                <w:szCs w:val="28"/>
              </w:rPr>
              <w:t>万人次，让老同志在“华丽转身”中绽放优雅时尚。</w:t>
            </w:r>
            <w:r>
              <w:rPr>
                <w:sz w:val="28"/>
                <w:szCs w:val="28"/>
              </w:rPr>
              <w:t>3.</w:t>
            </w:r>
            <w:r>
              <w:rPr>
                <w:rFonts w:hint="eastAsia" w:ascii="宋体" w:hAnsi="宋体" w:eastAsia="宋体" w:cs="宋体"/>
                <w:sz w:val="28"/>
                <w:szCs w:val="28"/>
              </w:rPr>
              <w:t>推动共建共享拓外延。认真落实衡华书记批示精神和市长办公会议精神，积极推动市老干部大学（党校）增点扩容，已经形成市老干部大学本部、市直机关分校和市青少年宫分校“一校三址”的办学格局。在市委组织部支持下，建设</w:t>
            </w:r>
            <w:r>
              <w:rPr>
                <w:sz w:val="28"/>
                <w:szCs w:val="28"/>
              </w:rPr>
              <w:t>20</w:t>
            </w:r>
            <w:r>
              <w:rPr>
                <w:rFonts w:hint="eastAsia" w:ascii="宋体" w:hAnsi="宋体" w:eastAsia="宋体" w:cs="宋体"/>
                <w:sz w:val="28"/>
                <w:szCs w:val="28"/>
              </w:rPr>
              <w:t>个老年教育基层教学点，“家门口”的老年大学受到老年朋友的热烈欢迎。市老干部活动中心联合市一医院设立“院前急救及慢病管理服务”医务室，联合市图书馆进行图书室专业化改造。精心打造全省第一家以老干部、老党员风采展示为主题的“银耀星城”展示馆和政治生活馆，让党性教育有阵地、厚德育人有平台、示范引领有标杆。 四、擦亮工作品牌，提升服务管理水平</w:t>
            </w:r>
            <w:r>
              <w:rPr>
                <w:sz w:val="28"/>
                <w:szCs w:val="28"/>
              </w:rPr>
              <w:t>1.</w:t>
            </w:r>
            <w:r>
              <w:rPr>
                <w:rFonts w:hint="eastAsia" w:ascii="宋体" w:hAnsi="宋体" w:eastAsia="宋体" w:cs="宋体"/>
                <w:sz w:val="28"/>
                <w:szCs w:val="28"/>
              </w:rPr>
              <w:t>深刻把握发展大势。积极探索一化</w:t>
            </w:r>
            <w:r>
              <w:rPr>
                <w:sz w:val="28"/>
                <w:szCs w:val="28"/>
              </w:rPr>
              <w:t>(</w:t>
            </w:r>
            <w:r>
              <w:rPr>
                <w:rFonts w:hint="eastAsia" w:ascii="宋体" w:hAnsi="宋体" w:eastAsia="宋体" w:cs="宋体"/>
                <w:sz w:val="28"/>
                <w:szCs w:val="28"/>
              </w:rPr>
              <w:t>信息化</w:t>
            </w:r>
            <w:r>
              <w:rPr>
                <w:sz w:val="28"/>
                <w:szCs w:val="28"/>
              </w:rPr>
              <w:t>)</w:t>
            </w:r>
            <w:r>
              <w:rPr>
                <w:rFonts w:hint="eastAsia" w:ascii="宋体" w:hAnsi="宋体" w:eastAsia="宋体" w:cs="宋体"/>
                <w:sz w:val="28"/>
                <w:szCs w:val="28"/>
              </w:rPr>
              <w:t>带两化</w:t>
            </w:r>
            <w:r>
              <w:rPr>
                <w:sz w:val="28"/>
                <w:szCs w:val="28"/>
              </w:rPr>
              <w:t>(</w:t>
            </w:r>
            <w:r>
              <w:rPr>
                <w:rFonts w:hint="eastAsia" w:ascii="宋体" w:hAnsi="宋体" w:eastAsia="宋体" w:cs="宋体"/>
                <w:sz w:val="28"/>
                <w:szCs w:val="28"/>
              </w:rPr>
              <w:t>精准化、规范化</w:t>
            </w:r>
            <w:r>
              <w:rPr>
                <w:sz w:val="28"/>
                <w:szCs w:val="28"/>
              </w:rPr>
              <w:t>)</w:t>
            </w:r>
            <w:r>
              <w:rPr>
                <w:rFonts w:hint="eastAsia" w:ascii="宋体" w:hAnsi="宋体" w:eastAsia="宋体" w:cs="宋体"/>
                <w:sz w:val="28"/>
                <w:szCs w:val="28"/>
              </w:rPr>
              <w:t>促三性</w:t>
            </w:r>
            <w:r>
              <w:rPr>
                <w:sz w:val="28"/>
                <w:szCs w:val="28"/>
              </w:rPr>
              <w:t>(</w:t>
            </w:r>
            <w:r>
              <w:rPr>
                <w:rFonts w:hint="eastAsia" w:ascii="宋体" w:hAnsi="宋体" w:eastAsia="宋体" w:cs="宋体"/>
                <w:sz w:val="28"/>
                <w:szCs w:val="28"/>
              </w:rPr>
              <w:t>时代性、针对性、有效性</w:t>
            </w:r>
            <w:r>
              <w:rPr>
                <w:sz w:val="28"/>
                <w:szCs w:val="28"/>
              </w:rPr>
              <w:t>)</w:t>
            </w:r>
            <w:r>
              <w:rPr>
                <w:rFonts w:hint="eastAsia" w:ascii="宋体" w:hAnsi="宋体" w:eastAsia="宋体" w:cs="宋体"/>
                <w:sz w:val="28"/>
                <w:szCs w:val="28"/>
              </w:rPr>
              <w:t>的长沙路径，让老干部工作搭上信息化快车。全面完成全市离退休干部信息采集工作，信息化工作基础有效夯实。依托“三湘老干部</w:t>
            </w:r>
            <w:r>
              <w:rPr>
                <w:sz w:val="28"/>
                <w:szCs w:val="28"/>
              </w:rPr>
              <w:t>e</w:t>
            </w:r>
            <w:r>
              <w:rPr>
                <w:rFonts w:hint="eastAsia" w:ascii="宋体" w:hAnsi="宋体" w:eastAsia="宋体" w:cs="宋体"/>
                <w:sz w:val="28"/>
                <w:szCs w:val="28"/>
              </w:rPr>
              <w:t>家”开设“五老红”志愿服务和老年教育网络课堂专区。对接长沙“智慧城市”</w:t>
            </w:r>
            <w:r>
              <w:rPr>
                <w:sz w:val="28"/>
                <w:szCs w:val="28"/>
              </w:rPr>
              <w:t>APP</w:t>
            </w:r>
            <w:r>
              <w:rPr>
                <w:rFonts w:hint="eastAsia" w:ascii="宋体" w:hAnsi="宋体" w:eastAsia="宋体" w:cs="宋体"/>
                <w:sz w:val="28"/>
                <w:szCs w:val="28"/>
              </w:rPr>
              <w:t>，力求在“智慧党建”“智慧医疗”等主题模块契合老干部工作需求。精心开展“与时代共舞，携梦想同行”信息化主题活动，评选一批“乐为</w:t>
            </w:r>
            <w:r>
              <w:rPr>
                <w:sz w:val="28"/>
                <w:szCs w:val="28"/>
              </w:rPr>
              <w:t>e</w:t>
            </w:r>
            <w:r>
              <w:rPr>
                <w:rFonts w:hint="eastAsia" w:ascii="宋体" w:hAnsi="宋体" w:eastAsia="宋体" w:cs="宋体"/>
                <w:sz w:val="28"/>
                <w:szCs w:val="28"/>
              </w:rPr>
              <w:t>站”“乐为</w:t>
            </w:r>
            <w:r>
              <w:rPr>
                <w:sz w:val="28"/>
                <w:szCs w:val="28"/>
              </w:rPr>
              <w:t>e</w:t>
            </w:r>
            <w:r>
              <w:rPr>
                <w:rFonts w:hint="eastAsia" w:ascii="宋体" w:hAnsi="宋体" w:eastAsia="宋体" w:cs="宋体"/>
                <w:sz w:val="28"/>
                <w:szCs w:val="28"/>
              </w:rPr>
              <w:t>达人”“乐龄</w:t>
            </w:r>
            <w:r>
              <w:rPr>
                <w:sz w:val="28"/>
                <w:szCs w:val="28"/>
              </w:rPr>
              <w:t>e</w:t>
            </w:r>
            <w:r>
              <w:rPr>
                <w:rFonts w:hint="eastAsia" w:ascii="宋体" w:hAnsi="宋体" w:eastAsia="宋体" w:cs="宋体"/>
                <w:sz w:val="28"/>
                <w:szCs w:val="28"/>
              </w:rPr>
              <w:t>达人”，“古稀网红”王昌连、“镜头大师”朱元亮、“诗词版主”鲍汉军等被媒体宣传推介。</w:t>
            </w:r>
            <w:r>
              <w:rPr>
                <w:sz w:val="28"/>
                <w:szCs w:val="28"/>
              </w:rPr>
              <w:t>2.</w:t>
            </w:r>
            <w:r>
              <w:rPr>
                <w:rFonts w:hint="eastAsia" w:ascii="宋体" w:hAnsi="宋体" w:eastAsia="宋体" w:cs="宋体"/>
                <w:sz w:val="28"/>
                <w:szCs w:val="28"/>
              </w:rPr>
              <w:t>着力优化服务体系。认真落实老干部政治生活待遇，全年共组织市级老领导参加重要会议、重要活动</w:t>
            </w:r>
            <w:r>
              <w:rPr>
                <w:sz w:val="28"/>
                <w:szCs w:val="28"/>
              </w:rPr>
              <w:t>10</w:t>
            </w:r>
            <w:r>
              <w:rPr>
                <w:rFonts w:hint="eastAsia" w:ascii="宋体" w:hAnsi="宋体" w:eastAsia="宋体" w:cs="宋体"/>
                <w:sz w:val="28"/>
                <w:szCs w:val="28"/>
              </w:rPr>
              <w:t>次；帮扶</w:t>
            </w:r>
            <w:r>
              <w:rPr>
                <w:sz w:val="28"/>
                <w:szCs w:val="28"/>
              </w:rPr>
              <w:t>39</w:t>
            </w:r>
            <w:r>
              <w:rPr>
                <w:rFonts w:hint="eastAsia" w:ascii="宋体" w:hAnsi="宋体" w:eastAsia="宋体" w:cs="宋体"/>
                <w:sz w:val="28"/>
                <w:szCs w:val="28"/>
              </w:rPr>
              <w:t>名特困离休干部，</w:t>
            </w:r>
            <w:r>
              <w:rPr>
                <w:sz w:val="28"/>
                <w:szCs w:val="28"/>
              </w:rPr>
              <w:t>29</w:t>
            </w:r>
            <w:r>
              <w:rPr>
                <w:rFonts w:hint="eastAsia" w:ascii="宋体" w:hAnsi="宋体" w:eastAsia="宋体" w:cs="宋体"/>
                <w:sz w:val="28"/>
                <w:szCs w:val="28"/>
              </w:rPr>
              <w:t>名离休干部遗孀（配偶）</w:t>
            </w:r>
            <w:r>
              <w:rPr>
                <w:sz w:val="28"/>
                <w:szCs w:val="28"/>
              </w:rPr>
              <w:t>,</w:t>
            </w:r>
            <w:r>
              <w:rPr>
                <w:rFonts w:hint="eastAsia" w:ascii="宋体" w:hAnsi="宋体" w:eastAsia="宋体" w:cs="宋体"/>
                <w:sz w:val="28"/>
                <w:szCs w:val="28"/>
              </w:rPr>
              <w:t>落实帮扶资金</w:t>
            </w:r>
            <w:r>
              <w:rPr>
                <w:sz w:val="28"/>
                <w:szCs w:val="28"/>
              </w:rPr>
              <w:t>22.9</w:t>
            </w:r>
            <w:r>
              <w:rPr>
                <w:rFonts w:hint="eastAsia" w:ascii="宋体" w:hAnsi="宋体" w:eastAsia="宋体" w:cs="宋体"/>
                <w:sz w:val="28"/>
                <w:szCs w:val="28"/>
              </w:rPr>
              <w:t>万元；完成</w:t>
            </w:r>
            <w:r>
              <w:rPr>
                <w:sz w:val="28"/>
                <w:szCs w:val="28"/>
              </w:rPr>
              <w:t>449</w:t>
            </w:r>
            <w:r>
              <w:rPr>
                <w:rFonts w:hint="eastAsia" w:ascii="宋体" w:hAnsi="宋体" w:eastAsia="宋体" w:cs="宋体"/>
                <w:sz w:val="28"/>
                <w:szCs w:val="28"/>
              </w:rPr>
              <w:t>名困难企事业单位离休干部</w:t>
            </w:r>
            <w:r>
              <w:rPr>
                <w:sz w:val="28"/>
                <w:szCs w:val="28"/>
              </w:rPr>
              <w:t>7</w:t>
            </w:r>
            <w:r>
              <w:rPr>
                <w:rFonts w:hint="eastAsia" w:ascii="宋体" w:hAnsi="宋体" w:eastAsia="宋体" w:cs="宋体"/>
                <w:sz w:val="28"/>
                <w:szCs w:val="28"/>
              </w:rPr>
              <w:t>个节日慰问物资统一采购发放工作。将“精准精细”理念全面融入离休干部个性化服务机制，为离休干部的日常照料、生活服务、精神慰藉等需求提供服务。组织市委离退休工委委员上门慰问全市</w:t>
            </w:r>
            <w:r>
              <w:rPr>
                <w:sz w:val="28"/>
                <w:szCs w:val="28"/>
              </w:rPr>
              <w:t>100</w:t>
            </w:r>
            <w:r>
              <w:rPr>
                <w:rFonts w:hint="eastAsia" w:ascii="宋体" w:hAnsi="宋体" w:eastAsia="宋体" w:cs="宋体"/>
                <w:sz w:val="28"/>
                <w:szCs w:val="28"/>
              </w:rPr>
              <w:t>名困难离退休党员。市老干部休养所积极构筑老干部“温情之家、舒适之家、快乐之家”。投入</w:t>
            </w:r>
            <w:r>
              <w:rPr>
                <w:sz w:val="28"/>
                <w:szCs w:val="28"/>
              </w:rPr>
              <w:t>123</w:t>
            </w:r>
            <w:r>
              <w:rPr>
                <w:rFonts w:hint="eastAsia" w:ascii="宋体" w:hAnsi="宋体" w:eastAsia="宋体" w:cs="宋体"/>
                <w:sz w:val="28"/>
                <w:szCs w:val="28"/>
              </w:rPr>
              <w:t>万元培育一批“五化”离退休干部党支部示范点、“五老”志愿服务团队和老年教育网络课堂站点。精心改版升级官网官微，优化宣传推介服务，大力弘扬老同志先进事迹，全年在市级以上媒体刊发报道</w:t>
            </w:r>
            <w:r>
              <w:rPr>
                <w:sz w:val="28"/>
                <w:szCs w:val="28"/>
              </w:rPr>
              <w:t>221</w:t>
            </w:r>
            <w:r>
              <w:rPr>
                <w:rFonts w:hint="eastAsia" w:ascii="宋体" w:hAnsi="宋体" w:eastAsia="宋体" w:cs="宋体"/>
                <w:sz w:val="28"/>
                <w:szCs w:val="28"/>
              </w:rPr>
              <w:t>篇，其中国家级</w:t>
            </w:r>
            <w:r>
              <w:rPr>
                <w:sz w:val="28"/>
                <w:szCs w:val="28"/>
              </w:rPr>
              <w:t>34</w:t>
            </w:r>
            <w:r>
              <w:rPr>
                <w:rFonts w:hint="eastAsia" w:ascii="宋体" w:hAnsi="宋体" w:eastAsia="宋体" w:cs="宋体"/>
                <w:sz w:val="28"/>
                <w:szCs w:val="28"/>
              </w:rPr>
              <w:t>篇（次）。</w:t>
            </w:r>
            <w:r>
              <w:rPr>
                <w:sz w:val="28"/>
                <w:szCs w:val="28"/>
              </w:rPr>
              <w:t>3.</w:t>
            </w:r>
            <w:r>
              <w:rPr>
                <w:rFonts w:hint="eastAsia" w:ascii="宋体" w:hAnsi="宋体" w:eastAsia="宋体" w:cs="宋体"/>
                <w:sz w:val="28"/>
                <w:szCs w:val="28"/>
              </w:rPr>
              <w:t>从严加强自身建设。提请市委常委议事协调会议专题研究解决区县（市）委老干部局机构改革后机构设置和职数配备问题，为全市老干部工作高质量发展“一盘棋”提供重要保障。精心组织“不忘初心、牢记使命”主题教育，引导老干部工作队伍增强责任意识，勇于担当使命，确保政治上绝对可靠、对党绝对忠诚。突出领导班子和干部队伍建设，以党建为引领从严抓好意识形态、综合治理、党风廉政建设等工作，组织中心组（扩大）学习</w:t>
            </w:r>
            <w:r>
              <w:rPr>
                <w:sz w:val="28"/>
                <w:szCs w:val="28"/>
              </w:rPr>
              <w:t>10</w:t>
            </w:r>
            <w:r>
              <w:rPr>
                <w:rFonts w:hint="eastAsia" w:ascii="宋体" w:hAnsi="宋体" w:eastAsia="宋体" w:cs="宋体"/>
                <w:sz w:val="28"/>
                <w:szCs w:val="28"/>
              </w:rPr>
              <w:t>次、局务会</w:t>
            </w:r>
            <w:r>
              <w:rPr>
                <w:sz w:val="28"/>
                <w:szCs w:val="28"/>
              </w:rPr>
              <w:t>33</w:t>
            </w:r>
            <w:r>
              <w:rPr>
                <w:rFonts w:hint="eastAsia" w:ascii="宋体" w:hAnsi="宋体" w:eastAsia="宋体" w:cs="宋体"/>
                <w:sz w:val="28"/>
                <w:szCs w:val="28"/>
              </w:rPr>
              <w:t>次；组织“老干部工作业务大比武”活动，安排全体工作人员岗位练兵赛业务，跟班送训强素质；“严管厚爱做表率，淳厚家风助廉洁”廉洁家访活动经验在全市推介。认真开展“结对认亲一帮一 ，精准扶贫心连心”、垃圾分类“四个一”等活动。局系统四个单位成功“四同”联创市文明标兵单位。</w:t>
            </w:r>
          </w:p>
        </w:tc>
      </w:tr>
      <w:tr w14:paraId="54419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3284" w:type="dxa"/>
            <w:vMerge w:val="restart"/>
            <w:tcBorders>
              <w:top w:val="single" w:color="00000A" w:sz="8" w:space="0"/>
              <w:left w:val="single" w:color="00000A" w:sz="8" w:space="0"/>
              <w:bottom w:val="outset" w:color="00000A" w:sz="18" w:space="0"/>
              <w:right w:val="single" w:color="00000A" w:sz="8" w:space="0"/>
            </w:tcBorders>
            <w:tcMar>
              <w:top w:w="0" w:type="dxa"/>
              <w:left w:w="115" w:type="dxa"/>
              <w:bottom w:w="0" w:type="dxa"/>
              <w:right w:w="115" w:type="dxa"/>
            </w:tcMar>
            <w:vAlign w:val="center"/>
          </w:tcPr>
          <w:p w14:paraId="398B158B">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rPr>
                <w:sz w:val="19"/>
                <w:szCs w:val="19"/>
              </w:rPr>
            </w:pPr>
          </w:p>
        </w:tc>
        <w:tc>
          <w:tcPr>
            <w:tcW w:w="6616" w:type="dxa"/>
            <w:gridSpan w:val="8"/>
            <w:vMerge w:val="restart"/>
            <w:tcBorders>
              <w:top w:val="nil"/>
              <w:left w:val="nil"/>
              <w:bottom w:val="outset" w:color="00000A" w:sz="18" w:space="0"/>
              <w:right w:val="single" w:color="00000A" w:sz="8" w:space="0"/>
            </w:tcBorders>
            <w:tcMar>
              <w:top w:w="0" w:type="dxa"/>
              <w:left w:w="0" w:type="dxa"/>
              <w:bottom w:w="0" w:type="dxa"/>
              <w:right w:w="115" w:type="dxa"/>
            </w:tcMar>
            <w:vAlign w:val="center"/>
          </w:tcPr>
          <w:p w14:paraId="1A6E3BA0">
            <w:pPr>
              <w:widowControl/>
              <w:spacing w:before="0" w:beforeAutospacing="0" w:after="0" w:afterAutospacing="0"/>
              <w:ind w:left="0" w:right="0"/>
              <w:jc w:val="left"/>
            </w:pPr>
          </w:p>
        </w:tc>
      </w:tr>
      <w:tr w14:paraId="71CBB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3284" w:type="dxa"/>
            <w:vMerge w:val="continue"/>
            <w:tcBorders>
              <w:top w:val="single" w:color="00000A" w:sz="8" w:space="0"/>
              <w:left w:val="single" w:color="00000A" w:sz="8" w:space="0"/>
              <w:bottom w:val="outset" w:color="00000A" w:sz="18" w:space="0"/>
              <w:right w:val="single" w:color="00000A" w:sz="8" w:space="0"/>
            </w:tcBorders>
            <w:tcMar>
              <w:top w:w="0" w:type="dxa"/>
              <w:left w:w="115" w:type="dxa"/>
              <w:bottom w:w="0" w:type="dxa"/>
              <w:right w:w="115" w:type="dxa"/>
            </w:tcMar>
            <w:vAlign w:val="center"/>
          </w:tcPr>
          <w:p w14:paraId="43DD74F2">
            <w:pPr>
              <w:rPr>
                <w:rFonts w:hint="eastAsia" w:ascii="宋体"/>
                <w:sz w:val="24"/>
                <w:szCs w:val="24"/>
              </w:rPr>
            </w:pPr>
          </w:p>
        </w:tc>
        <w:tc>
          <w:tcPr>
            <w:tcW w:w="6616" w:type="dxa"/>
            <w:gridSpan w:val="8"/>
            <w:vMerge w:val="continue"/>
            <w:tcBorders>
              <w:top w:val="nil"/>
              <w:left w:val="nil"/>
              <w:bottom w:val="outset" w:color="00000A" w:sz="18" w:space="0"/>
              <w:right w:val="single" w:color="00000A" w:sz="8" w:space="0"/>
            </w:tcBorders>
            <w:tcMar>
              <w:top w:w="0" w:type="dxa"/>
              <w:left w:w="0" w:type="dxa"/>
              <w:bottom w:w="0" w:type="dxa"/>
              <w:right w:w="115" w:type="dxa"/>
            </w:tcMar>
            <w:vAlign w:val="center"/>
          </w:tcPr>
          <w:p w14:paraId="7750A61E">
            <w:pPr>
              <w:rPr>
                <w:rFonts w:hint="eastAsia" w:ascii="宋体"/>
                <w:sz w:val="24"/>
                <w:szCs w:val="24"/>
              </w:rPr>
            </w:pPr>
          </w:p>
        </w:tc>
      </w:tr>
      <w:tr w14:paraId="6D6FD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66" w:hRule="atLeast"/>
          <w:jc w:val="center"/>
        </w:trPr>
        <w:tc>
          <w:tcPr>
            <w:tcW w:w="3284" w:type="dxa"/>
            <w:tcBorders>
              <w:top w:val="single" w:color="00000A" w:sz="8" w:space="0"/>
              <w:left w:val="single" w:color="00000A" w:sz="8" w:space="0"/>
              <w:bottom w:val="single" w:color="00000A" w:sz="8" w:space="0"/>
              <w:right w:val="single" w:color="00000A" w:sz="8" w:space="0"/>
            </w:tcBorders>
            <w:tcMar>
              <w:top w:w="0" w:type="dxa"/>
              <w:left w:w="115" w:type="dxa"/>
              <w:bottom w:w="0" w:type="dxa"/>
              <w:right w:w="115" w:type="dxa"/>
            </w:tcMar>
            <w:vAlign w:val="center"/>
          </w:tcPr>
          <w:p w14:paraId="7B503571">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Style w:val="5"/>
                <w:rFonts w:hint="default" w:ascii="仿宋_GB2312" w:eastAsia="仿宋_GB2312" w:cs="仿宋_GB2312"/>
                <w:sz w:val="24"/>
                <w:szCs w:val="24"/>
              </w:rPr>
              <w:t>存在的主要问题 主要阐述资金安排、使用，资产管理过程中存在的问题</w:t>
            </w:r>
          </w:p>
        </w:tc>
        <w:tc>
          <w:tcPr>
            <w:tcW w:w="6616" w:type="dxa"/>
            <w:gridSpan w:val="8"/>
            <w:tcBorders>
              <w:top w:val="nil"/>
              <w:left w:val="nil"/>
              <w:bottom w:val="single" w:color="00000A" w:sz="8" w:space="0"/>
              <w:right w:val="single" w:color="00000A" w:sz="8" w:space="0"/>
            </w:tcBorders>
            <w:tcMar>
              <w:top w:w="0" w:type="dxa"/>
              <w:left w:w="0" w:type="dxa"/>
              <w:bottom w:w="0" w:type="dxa"/>
              <w:right w:w="115" w:type="dxa"/>
            </w:tcMar>
            <w:vAlign w:val="center"/>
          </w:tcPr>
          <w:p w14:paraId="57070535">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rPr>
                <w:sz w:val="19"/>
                <w:szCs w:val="19"/>
              </w:rPr>
            </w:pPr>
            <w:r>
              <w:rPr>
                <w:rFonts w:hint="eastAsia" w:ascii="宋体" w:hAnsi="宋体" w:eastAsia="宋体" w:cs="宋体"/>
                <w:sz w:val="28"/>
                <w:szCs w:val="28"/>
              </w:rPr>
              <w:t>存在的主要问题 本单位通过对</w:t>
            </w:r>
            <w:r>
              <w:rPr>
                <w:sz w:val="28"/>
                <w:szCs w:val="28"/>
              </w:rPr>
              <w:t>2019</w:t>
            </w:r>
            <w:r>
              <w:rPr>
                <w:rFonts w:hint="eastAsia" w:ascii="宋体" w:hAnsi="宋体" w:eastAsia="宋体" w:cs="宋体"/>
                <w:sz w:val="28"/>
                <w:szCs w:val="28"/>
              </w:rPr>
              <w:t>年度部门整体支出绩效自评，我们认识到，绩效管理不只是财政支出方面，而应更加注重产出及效率，这样有利于我们强化支出的责任，提高财政资金的使用效益，更好地促进我们履行职责。通过开展部门整体支出绩效自评，我们吸取了一些教训也收获一定的经验，主要为： 一是要科学合理地编制部门预算，预算要结合本部门的事业发展计划、职责和任务测算，要确保部门预算编制真实、准确、完整，切合单位实际。 二是要强化绩效管理考核，围绕绩效考核目标任务，层层分解落实，明确责任领导和责任单位及责任人，强化责任意识，使每位同志对自己的目标任务了然于胸，从而增强工作的主动性和积极性，使考核目标中涉及的每一项任务都落到了实处，同时建立并执行考核目标执行情况跟踪检查制度，责任追究制度，使单位在合理使用资金，有效控制支出的情况下，确保了各项绩效考核指标保质保量完成。 一是明确了各自职责：局机关办公室职责：制定机关资产规范管理的暂行办法；所有资产统一归口中心办公室汇总管理，组织并监督各科室按规定管理好科室资产，及时登记按时维护做好保管工作；年底组织所有科室进行局机关所有资产的盘点盘底工作。局机关及设备负责人职责：负责人负 责所有资产的登记及保管工作；如有变动，月底将变动情况交付给科室负责人，负责人核对数量、汇总同类资产数量及填写存放地点，及时盘点登记入账；负责人负 责保管所有资产，如有借出、丢失或损坏等，及时登记资产出入情况并写明理由；科室负责人负责监督和复核。局机关财务职责：对固定资产系统进行更新和完善，及时将新购置资产、已经处置资产录入资产系统，认真准确完成资产年报，确保固定资产账账相符、账证相符、账实相符。 二是明确了管理办法：对单价在</w:t>
            </w:r>
            <w:r>
              <w:rPr>
                <w:sz w:val="28"/>
                <w:szCs w:val="28"/>
              </w:rPr>
              <w:t>1000</w:t>
            </w:r>
            <w:r>
              <w:rPr>
                <w:rFonts w:hint="eastAsia" w:ascii="宋体" w:hAnsi="宋体" w:eastAsia="宋体" w:cs="宋体"/>
                <w:sz w:val="28"/>
                <w:szCs w:val="28"/>
              </w:rPr>
              <w:t>元以上、使用期限在</w:t>
            </w:r>
            <w:r>
              <w:rPr>
                <w:sz w:val="28"/>
                <w:szCs w:val="28"/>
              </w:rPr>
              <w:t>1</w:t>
            </w:r>
            <w:r>
              <w:rPr>
                <w:rFonts w:hint="eastAsia" w:ascii="宋体" w:hAnsi="宋体" w:eastAsia="宋体" w:cs="宋体"/>
                <w:sz w:val="28"/>
                <w:szCs w:val="28"/>
              </w:rPr>
              <w:t>年以上，基本保持物品形态的办公设备、生活设施和有关用具均列入固定资产名录。①凡属于政府采购目录范围内的工程、办公设备、办公家具等，根据单位固定资产情况，严格按照使用年限，遵行先报废再购置程序编制预算，说明购置依据和理由。采购一律按照《关于印发</w:t>
            </w:r>
            <w:r>
              <w:rPr>
                <w:sz w:val="28"/>
                <w:szCs w:val="28"/>
              </w:rPr>
              <w:t>&lt;</w:t>
            </w:r>
            <w:r>
              <w:rPr>
                <w:rFonts w:hint="eastAsia" w:ascii="宋体" w:hAnsi="宋体" w:eastAsia="宋体" w:cs="宋体"/>
                <w:sz w:val="28"/>
                <w:szCs w:val="28"/>
              </w:rPr>
              <w:t>长沙市市级行政事业单位通用资产配置标准</w:t>
            </w:r>
            <w:r>
              <w:rPr>
                <w:sz w:val="28"/>
                <w:szCs w:val="28"/>
              </w:rPr>
              <w:t>&gt;</w:t>
            </w:r>
            <w:r>
              <w:rPr>
                <w:rFonts w:hint="eastAsia" w:ascii="宋体" w:hAnsi="宋体" w:eastAsia="宋体" w:cs="宋体"/>
                <w:sz w:val="28"/>
                <w:szCs w:val="28"/>
              </w:rPr>
              <w:t>》（长财资产〔</w:t>
            </w:r>
            <w:r>
              <w:rPr>
                <w:sz w:val="28"/>
                <w:szCs w:val="28"/>
              </w:rPr>
              <w:t>2018</w:t>
            </w:r>
            <w:r>
              <w:rPr>
                <w:rFonts w:hint="eastAsia" w:ascii="宋体" w:hAnsi="宋体" w:eastAsia="宋体" w:cs="宋体"/>
                <w:sz w:val="28"/>
                <w:szCs w:val="28"/>
              </w:rPr>
              <w:t>〕</w:t>
            </w:r>
            <w:r>
              <w:rPr>
                <w:sz w:val="28"/>
                <w:szCs w:val="28"/>
              </w:rPr>
              <w:t>33</w:t>
            </w:r>
            <w:r>
              <w:rPr>
                <w:rFonts w:hint="eastAsia" w:ascii="宋体" w:hAnsi="宋体" w:eastAsia="宋体" w:cs="宋体"/>
                <w:sz w:val="28"/>
                <w:szCs w:val="28"/>
              </w:rPr>
              <w:t>号），按规定程序进行采购、报账，列入固定资产总账。②保管。由办公室对配置资产进行登记，建立资产卡片，将相关信息录入资产管理信息系统，实行一物一条码，专人使用专人保管。③处置。固定资产的调配、处置、报废，由办公室按有关规定和程序统一处理，任何人不得私自处理。④清查。由办公室定期对资产进行清查盘点，做到账实相符，保持账、物、卡一致。对报废、损坏、遗失等盘亏的固定资产，查明原因，按程序报主管部门、市财政局处置。</w:t>
            </w:r>
          </w:p>
        </w:tc>
      </w:tr>
    </w:tbl>
    <w:p w14:paraId="72EABB3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大标宋简体">
    <w:altName w:val="微软雅黑"/>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OWNlMzUwNWYxYTVmYWM3ZmM5MWFhNTU3ZWY3N2UifQ=="/>
  </w:docVars>
  <w:rsids>
    <w:rsidRoot w:val="00000000"/>
    <w:rsid w:val="08791E9C"/>
    <w:rsid w:val="12576716"/>
    <w:rsid w:val="24AC7B54"/>
    <w:rsid w:val="2DED22CA"/>
    <w:rsid w:val="37CF51C4"/>
    <w:rsid w:val="39BA6347"/>
    <w:rsid w:val="3A5E65B7"/>
    <w:rsid w:val="4A037BA1"/>
    <w:rsid w:val="533E493C"/>
    <w:rsid w:val="57C00531"/>
    <w:rsid w:val="5D5B3F80"/>
    <w:rsid w:val="67E8260E"/>
    <w:rsid w:val="6CA76C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19767</Words>
  <Characters>20703</Characters>
  <Lines>0</Lines>
  <Paragraphs>0</Paragraphs>
  <TotalTime>14</TotalTime>
  <ScaleCrop>false</ScaleCrop>
  <LinksUpToDate>false</LinksUpToDate>
  <CharactersWithSpaces>20760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2021-03-15T08:56:00Z</dcterms:created>
  <dc:creator>111</dc:creator>
  <cp:lastModifiedBy>WPS_1618295125</cp:lastModifiedBy>
  <dcterms:modified xsi:type="dcterms:W3CDTF">2026-03-16T02:16:43Z</dcterms:modified>
  <dc:title>_x000B_中共长沙市委老干部局2019年度部门决算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EB59F860E98749BA8F03FD3C1DF3D35D_13</vt:lpwstr>
  </property>
  <property fmtid="{D5CDD505-2E9C-101B-9397-08002B2CF9AE}" pid="4" name="KSOTemplateDocerSaveRecord">
    <vt:lpwstr>eyJoZGlkIjoiNGY2OWQzZGVjNjMwOWY2NGE3MGFjZDEwYTMyNzg5OTIiLCJ1c2VySWQiOiIxMjAwMDI1MjA4In0=</vt:lpwstr>
  </property>
</Properties>
</file>