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28"/>
          <w:szCs w:val="28"/>
        </w:rPr>
      </w:pPr>
    </w:p>
    <w:p>
      <w:pPr>
        <w:spacing w:line="600" w:lineRule="exact"/>
        <w:rPr>
          <w:rFonts w:eastAsia="黑体"/>
          <w:sz w:val="28"/>
          <w:szCs w:val="28"/>
        </w:rPr>
      </w:pPr>
    </w:p>
    <w:p>
      <w:pPr>
        <w:spacing w:line="600" w:lineRule="exact"/>
        <w:jc w:val="center"/>
        <w:rPr>
          <w:rFonts w:hint="eastAsia" w:eastAsia="方正小标宋简体"/>
          <w:sz w:val="44"/>
          <w:szCs w:val="44"/>
          <w:lang w:eastAsia="zh-CN"/>
        </w:rPr>
      </w:pPr>
      <w:r>
        <w:rPr>
          <w:rFonts w:hint="eastAsia" w:eastAsia="方正小标宋简体"/>
          <w:sz w:val="44"/>
          <w:szCs w:val="44"/>
        </w:rPr>
        <w:t>202</w:t>
      </w:r>
      <w:r>
        <w:rPr>
          <w:rFonts w:hint="eastAsia" w:eastAsia="方正小标宋简体"/>
          <w:sz w:val="44"/>
          <w:szCs w:val="44"/>
          <w:lang w:val="en-US" w:eastAsia="zh-CN"/>
        </w:rPr>
        <w:t>2</w:t>
      </w:r>
      <w:r>
        <w:rPr>
          <w:rFonts w:eastAsia="方正小标宋简体"/>
          <w:sz w:val="44"/>
          <w:szCs w:val="44"/>
        </w:rPr>
        <w:t>年度</w:t>
      </w:r>
      <w:r>
        <w:rPr>
          <w:rFonts w:hint="eastAsia" w:eastAsia="方正小标宋简体"/>
          <w:sz w:val="44"/>
          <w:szCs w:val="44"/>
        </w:rPr>
        <w:t>长沙</w:t>
      </w:r>
      <w:r>
        <w:rPr>
          <w:rFonts w:hint="eastAsia" w:eastAsia="方正小标宋简体"/>
          <w:sz w:val="44"/>
          <w:szCs w:val="44"/>
          <w:lang w:eastAsia="zh-CN"/>
        </w:rPr>
        <w:t>市城市房屋征收和补偿管理</w:t>
      </w:r>
    </w:p>
    <w:p>
      <w:pPr>
        <w:spacing w:line="600" w:lineRule="exact"/>
        <w:jc w:val="center"/>
        <w:rPr>
          <w:rFonts w:eastAsia="方正小标宋简体"/>
          <w:sz w:val="44"/>
          <w:szCs w:val="44"/>
        </w:rPr>
      </w:pPr>
      <w:r>
        <w:rPr>
          <w:rFonts w:hint="eastAsia" w:eastAsia="方正小标宋简体"/>
          <w:sz w:val="44"/>
          <w:szCs w:val="44"/>
          <w:lang w:eastAsia="zh-CN"/>
        </w:rPr>
        <w:t>办公室</w:t>
      </w:r>
      <w:r>
        <w:rPr>
          <w:rFonts w:eastAsia="方正小标宋简体"/>
          <w:sz w:val="44"/>
          <w:szCs w:val="44"/>
        </w:rPr>
        <w:t>整体支出绩效自评报告</w:t>
      </w:r>
    </w:p>
    <w:p>
      <w:pPr>
        <w:jc w:val="center"/>
        <w:rPr>
          <w:rFonts w:eastAsia="楷体_GB2312"/>
          <w:b/>
          <w:sz w:val="32"/>
          <w:szCs w:val="32"/>
        </w:rPr>
      </w:pPr>
    </w:p>
    <w:p>
      <w:pPr>
        <w:jc w:val="center"/>
        <w:rPr>
          <w:rFonts w:eastAsia="黑体"/>
          <w:sz w:val="32"/>
          <w:szCs w:val="32"/>
        </w:rPr>
      </w:pPr>
      <w:r>
        <w:rPr>
          <w:rFonts w:hint="eastAsia" w:eastAsia="楷体_GB2312"/>
          <w:b/>
          <w:sz w:val="32"/>
          <w:szCs w:val="32"/>
        </w:rPr>
        <w:t xml:space="preserve"> </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jc w:val="center"/>
        <w:rPr>
          <w:rFonts w:hint="eastAsia" w:eastAsia="黑体"/>
          <w:sz w:val="36"/>
          <w:szCs w:val="36"/>
          <w:lang w:eastAsia="zh-CN"/>
        </w:rPr>
      </w:pPr>
      <w:r>
        <w:rPr>
          <w:rFonts w:eastAsia="黑体"/>
          <w:sz w:val="36"/>
          <w:szCs w:val="36"/>
        </w:rPr>
        <w:t>单位名称：</w:t>
      </w:r>
      <w:r>
        <w:rPr>
          <w:rFonts w:hint="eastAsia" w:eastAsia="黑体"/>
          <w:sz w:val="36"/>
          <w:szCs w:val="36"/>
        </w:rPr>
        <w:t>长沙市</w:t>
      </w:r>
      <w:r>
        <w:rPr>
          <w:rFonts w:hint="eastAsia" w:eastAsia="黑体"/>
          <w:sz w:val="36"/>
          <w:szCs w:val="36"/>
          <w:lang w:eastAsia="zh-CN"/>
        </w:rPr>
        <w:t>城市房屋征收和补偿管理办公室</w:t>
      </w:r>
    </w:p>
    <w:p>
      <w:pPr>
        <w:pStyle w:val="8"/>
        <w:rPr>
          <w:rFonts w:hint="eastAsia" w:eastAsia="黑体"/>
          <w:sz w:val="36"/>
          <w:szCs w:val="36"/>
          <w:lang w:eastAsia="zh-CN"/>
        </w:rPr>
      </w:pPr>
    </w:p>
    <w:p>
      <w:pPr>
        <w:pStyle w:val="8"/>
        <w:rPr>
          <w:rFonts w:hint="eastAsia" w:eastAsia="黑体"/>
          <w:sz w:val="36"/>
          <w:szCs w:val="36"/>
          <w:lang w:eastAsia="zh-CN"/>
        </w:rPr>
      </w:pPr>
    </w:p>
    <w:p>
      <w:pPr>
        <w:pStyle w:val="8"/>
        <w:rPr>
          <w:rFonts w:hint="eastAsia" w:eastAsia="黑体"/>
          <w:sz w:val="36"/>
          <w:szCs w:val="36"/>
          <w:lang w:eastAsia="zh-CN"/>
        </w:rPr>
      </w:pPr>
    </w:p>
    <w:p>
      <w:pPr>
        <w:pStyle w:val="8"/>
        <w:rPr>
          <w:rFonts w:hint="eastAsia" w:eastAsia="黑体"/>
          <w:sz w:val="36"/>
          <w:szCs w:val="36"/>
          <w:lang w:eastAsia="zh-CN"/>
        </w:rPr>
      </w:pPr>
    </w:p>
    <w:p>
      <w:pPr>
        <w:pStyle w:val="8"/>
        <w:rPr>
          <w:rFonts w:hint="eastAsia" w:eastAsia="黑体"/>
          <w:sz w:val="36"/>
          <w:szCs w:val="36"/>
          <w:lang w:eastAsia="zh-CN"/>
        </w:rPr>
      </w:pPr>
    </w:p>
    <w:p>
      <w:pPr>
        <w:jc w:val="center"/>
        <w:rPr>
          <w:rFonts w:eastAsia="黑体"/>
          <w:sz w:val="36"/>
          <w:szCs w:val="36"/>
        </w:rPr>
      </w:pPr>
    </w:p>
    <w:p>
      <w:pPr>
        <w:jc w:val="center"/>
        <w:rPr>
          <w:rFonts w:eastAsia="黑体"/>
          <w:sz w:val="32"/>
          <w:szCs w:val="32"/>
        </w:rPr>
      </w:pPr>
    </w:p>
    <w:p>
      <w:pPr>
        <w:rPr>
          <w:rFonts w:eastAsia="黑体"/>
          <w:sz w:val="32"/>
          <w:szCs w:val="32"/>
        </w:rPr>
      </w:pPr>
    </w:p>
    <w:p>
      <w:pPr>
        <w:keepNext w:val="0"/>
        <w:keepLines w:val="0"/>
        <w:pageBreakBefore w:val="0"/>
        <w:kinsoku/>
        <w:wordWrap/>
        <w:overflowPunct/>
        <w:topLinePunct w:val="0"/>
        <w:bidi w:val="0"/>
        <w:spacing w:beforeAutospacing="0" w:afterAutospacing="0" w:line="600" w:lineRule="exact"/>
        <w:ind w:firstLine="640" w:firstLineChars="200"/>
        <w:textAlignment w:val="auto"/>
        <w:rPr>
          <w:rFonts w:hint="eastAsia" w:eastAsia="仿宋_GB2312"/>
          <w:sz w:val="32"/>
          <w:szCs w:val="32"/>
        </w:rPr>
        <w:sectPr>
          <w:footerReference r:id="rId3" w:type="default"/>
          <w:pgSz w:w="11906" w:h="16838"/>
          <w:pgMar w:top="1440" w:right="1757" w:bottom="1440" w:left="1757" w:header="851" w:footer="992" w:gutter="0"/>
          <w:cols w:space="425" w:num="1"/>
          <w:docGrid w:type="lines" w:linePitch="312" w:charSpace="0"/>
        </w:sectPr>
      </w:pPr>
      <w:r>
        <w:rPr>
          <w:rFonts w:hint="eastAsia" w:eastAsia="仿宋_GB2312"/>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left="1280" w:leftChars="0" w:firstLine="0" w:firstLineChars="0"/>
        <w:textAlignment w:val="auto"/>
        <w:rPr>
          <w:rFonts w:eastAsia="黑体"/>
          <w:sz w:val="32"/>
          <w:szCs w:val="32"/>
          <w:highlight w:val="none"/>
        </w:rPr>
      </w:pPr>
      <w:r>
        <w:rPr>
          <w:rFonts w:eastAsia="黑体"/>
          <w:sz w:val="32"/>
          <w:szCs w:val="32"/>
          <w:highlight w:val="none"/>
        </w:rPr>
        <w:t>部门概况</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eastAsia="仿宋_GB2312"/>
          <w:sz w:val="32"/>
          <w:szCs w:val="32"/>
          <w:highlight w:val="none"/>
          <w:lang w:val="en-US" w:eastAsia="zh-CN"/>
        </w:rPr>
      </w:pPr>
      <w:r>
        <w:rPr>
          <w:rFonts w:eastAsia="楷体_GB2312"/>
          <w:b/>
          <w:sz w:val="32"/>
          <w:szCs w:val="32"/>
          <w:highlight w:val="none"/>
        </w:rPr>
        <w:t>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人员情况：单位负责人为邓琳春，人员编制44人，202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年初实有在编人员3</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人，聘用人员</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人，退休职工1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人；2</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年新调入</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名在职职工；</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rPr>
        <w:t>底实有在编人员</w:t>
      </w:r>
      <w:r>
        <w:rPr>
          <w:rFonts w:hint="eastAsia" w:ascii="仿宋_GB2312" w:hAnsi="仿宋_GB2312" w:eastAsia="仿宋_GB2312" w:cs="仿宋_GB2312"/>
          <w:sz w:val="32"/>
          <w:szCs w:val="32"/>
          <w:highlight w:val="none"/>
          <w:lang w:val="en-US" w:eastAsia="zh-CN"/>
        </w:rPr>
        <w:t>44</w:t>
      </w:r>
      <w:r>
        <w:rPr>
          <w:rFonts w:hint="eastAsia" w:ascii="仿宋_GB2312" w:hAnsi="仿宋_GB2312" w:eastAsia="仿宋_GB2312" w:cs="仿宋_GB2312"/>
          <w:sz w:val="32"/>
          <w:szCs w:val="32"/>
          <w:highlight w:val="none"/>
        </w:rPr>
        <w:t xml:space="preserve">人，其中班子成员4人，实有聘用职工8人，退休职工16人。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机构情况及设置：</w:t>
      </w:r>
      <w:r>
        <w:rPr>
          <w:rFonts w:hint="eastAsia" w:ascii="仿宋_GB2312" w:hAnsi="仿宋_GB2312" w:eastAsia="仿宋_GB2312" w:cs="仿宋_GB2312"/>
          <w:bCs/>
          <w:sz w:val="32"/>
          <w:szCs w:val="32"/>
          <w:highlight w:val="none"/>
          <w:lang w:val="en-US" w:eastAsia="zh-CN"/>
        </w:rPr>
        <w:t>本单位属长沙市城市人居环境局二级机构，为参照公务员法管理事业单位，预算管理级次为二级，单位执行政府会计制度。2022年内设综合部、征收监管部、法规室、拆除工程管理部、财务室、信访督查室、城市更新事务部7个部（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highlight w:val="none"/>
          <w:shd w:val="clear" w:fill="FFFFFF"/>
        </w:rPr>
      </w:pP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sz w:val="32"/>
          <w:szCs w:val="32"/>
          <w:highlight w:val="none"/>
        </w:rPr>
        <w:t>主要职能职责：</w:t>
      </w:r>
      <w:r>
        <w:rPr>
          <w:rFonts w:hint="eastAsia" w:ascii="仿宋_GB2312" w:hAnsi="仿宋_GB2312" w:eastAsia="仿宋_GB2312" w:cs="仿宋_GB2312"/>
          <w:sz w:val="32"/>
          <w:szCs w:val="32"/>
          <w:highlight w:val="none"/>
          <w:lang w:eastAsia="zh-CN"/>
        </w:rPr>
        <w:t>一是</w:t>
      </w:r>
      <w:r>
        <w:rPr>
          <w:rFonts w:hint="eastAsia" w:ascii="仿宋_GB2312" w:hAnsi="仿宋_GB2312" w:eastAsia="仿宋_GB2312" w:cs="仿宋_GB2312"/>
          <w:kern w:val="0"/>
          <w:sz w:val="32"/>
          <w:szCs w:val="32"/>
          <w:highlight w:val="none"/>
          <w:shd w:val="clear" w:fill="FFFFFF"/>
        </w:rPr>
        <w:t>负责全市国有土地上征收管理方面的地方性法规、规章及有关文件的起草和征收政策的调查研究。</w:t>
      </w:r>
      <w:r>
        <w:rPr>
          <w:rFonts w:hint="eastAsia" w:ascii="仿宋_GB2312" w:hAnsi="仿宋_GB2312" w:eastAsia="仿宋_GB2312" w:cs="仿宋_GB2312"/>
          <w:kern w:val="0"/>
          <w:sz w:val="32"/>
          <w:szCs w:val="32"/>
          <w:highlight w:val="none"/>
          <w:shd w:val="clear" w:fill="FFFFFF"/>
          <w:lang w:eastAsia="zh-CN"/>
        </w:rPr>
        <w:t>二是</w:t>
      </w:r>
      <w:r>
        <w:rPr>
          <w:rFonts w:hint="eastAsia" w:ascii="仿宋_GB2312" w:hAnsi="仿宋_GB2312" w:eastAsia="仿宋_GB2312" w:cs="仿宋_GB2312"/>
          <w:kern w:val="0"/>
          <w:sz w:val="32"/>
          <w:szCs w:val="32"/>
          <w:highlight w:val="none"/>
          <w:shd w:val="clear" w:fill="FFFFFF"/>
        </w:rPr>
        <w:t>负责对内五区房屋征收部门的工作进行监督管理，对县（市）、望城区征收部门进行业务指导。</w:t>
      </w:r>
      <w:r>
        <w:rPr>
          <w:rFonts w:hint="eastAsia" w:ascii="仿宋_GB2312" w:hAnsi="仿宋_GB2312" w:eastAsia="仿宋_GB2312" w:cs="仿宋_GB2312"/>
          <w:kern w:val="0"/>
          <w:sz w:val="32"/>
          <w:szCs w:val="32"/>
          <w:highlight w:val="none"/>
          <w:shd w:val="clear" w:fill="FFFFFF"/>
          <w:lang w:eastAsia="zh-CN"/>
        </w:rPr>
        <w:t>三是</w:t>
      </w:r>
      <w:r>
        <w:rPr>
          <w:rFonts w:hint="eastAsia" w:ascii="仿宋_GB2312" w:hAnsi="仿宋_GB2312" w:eastAsia="仿宋_GB2312" w:cs="仿宋_GB2312"/>
          <w:kern w:val="0"/>
          <w:sz w:val="32"/>
          <w:szCs w:val="32"/>
          <w:highlight w:val="none"/>
          <w:shd w:val="clear" w:fill="FFFFFF"/>
        </w:rPr>
        <w:t>负责组织实施由市人民政府负责的房屋征收与补偿工作，以及对达不成征收协议的被征收人拟定补偿决定，报市政府批准发布。</w:t>
      </w:r>
      <w:r>
        <w:rPr>
          <w:rFonts w:hint="eastAsia" w:ascii="仿宋_GB2312" w:hAnsi="仿宋_GB2312" w:eastAsia="仿宋_GB2312" w:cs="仿宋_GB2312"/>
          <w:kern w:val="0"/>
          <w:sz w:val="32"/>
          <w:szCs w:val="32"/>
          <w:highlight w:val="none"/>
          <w:shd w:val="clear" w:fill="FFFFFF"/>
          <w:lang w:eastAsia="zh-CN"/>
        </w:rPr>
        <w:t>四是</w:t>
      </w:r>
      <w:r>
        <w:rPr>
          <w:rFonts w:hint="eastAsia" w:ascii="仿宋_GB2312" w:hAnsi="仿宋_GB2312" w:eastAsia="仿宋_GB2312" w:cs="仿宋_GB2312"/>
          <w:kern w:val="0"/>
          <w:sz w:val="32"/>
          <w:szCs w:val="32"/>
          <w:highlight w:val="none"/>
          <w:shd w:val="clear" w:fill="FFFFFF"/>
        </w:rPr>
        <w:t>负责对征收项目补偿资金预算和补偿费用决算进行审核。</w:t>
      </w:r>
      <w:r>
        <w:rPr>
          <w:rFonts w:hint="eastAsia" w:ascii="仿宋_GB2312" w:hAnsi="仿宋_GB2312" w:eastAsia="仿宋_GB2312" w:cs="仿宋_GB2312"/>
          <w:kern w:val="0"/>
          <w:sz w:val="32"/>
          <w:szCs w:val="32"/>
          <w:highlight w:val="none"/>
          <w:shd w:val="clear" w:fill="FFFFFF"/>
          <w:lang w:eastAsia="zh-CN"/>
        </w:rPr>
        <w:t>五是</w:t>
      </w:r>
      <w:r>
        <w:rPr>
          <w:rFonts w:hint="eastAsia" w:ascii="仿宋_GB2312" w:hAnsi="仿宋_GB2312" w:eastAsia="仿宋_GB2312" w:cs="仿宋_GB2312"/>
          <w:kern w:val="0"/>
          <w:sz w:val="32"/>
          <w:szCs w:val="32"/>
          <w:highlight w:val="none"/>
          <w:shd w:val="clear" w:fill="FFFFFF"/>
        </w:rPr>
        <w:t>负责对内五区房屋征收补偿安置方案进行审批；负责对征收所有权人不明确的房屋补偿方案进行初审、备案。</w:t>
      </w:r>
      <w:r>
        <w:rPr>
          <w:rFonts w:hint="eastAsia" w:ascii="仿宋_GB2312" w:hAnsi="仿宋_GB2312" w:eastAsia="仿宋_GB2312" w:cs="仿宋_GB2312"/>
          <w:kern w:val="0"/>
          <w:sz w:val="32"/>
          <w:szCs w:val="32"/>
          <w:highlight w:val="none"/>
          <w:shd w:val="clear" w:fill="FFFFFF"/>
          <w:lang w:eastAsia="zh-CN"/>
        </w:rPr>
        <w:t>六是</w:t>
      </w:r>
      <w:r>
        <w:rPr>
          <w:rFonts w:hint="eastAsia" w:ascii="仿宋_GB2312" w:hAnsi="仿宋_GB2312" w:eastAsia="仿宋_GB2312" w:cs="仿宋_GB2312"/>
          <w:kern w:val="0"/>
          <w:sz w:val="32"/>
          <w:szCs w:val="32"/>
          <w:highlight w:val="none"/>
          <w:shd w:val="clear" w:fill="FFFFFF"/>
        </w:rPr>
        <w:t>负责对内五区征收补偿安置协议的备案。</w:t>
      </w:r>
      <w:r>
        <w:rPr>
          <w:rFonts w:hint="eastAsia" w:ascii="仿宋_GB2312" w:hAnsi="仿宋_GB2312" w:eastAsia="仿宋_GB2312" w:cs="仿宋_GB2312"/>
          <w:kern w:val="0"/>
          <w:sz w:val="32"/>
          <w:szCs w:val="32"/>
          <w:highlight w:val="none"/>
          <w:shd w:val="clear" w:fill="FFFFFF"/>
          <w:lang w:eastAsia="zh-CN"/>
        </w:rPr>
        <w:t>七是</w:t>
      </w:r>
      <w:r>
        <w:rPr>
          <w:rFonts w:hint="eastAsia" w:ascii="仿宋_GB2312" w:hAnsi="仿宋_GB2312" w:eastAsia="仿宋_GB2312" w:cs="仿宋_GB2312"/>
          <w:kern w:val="0"/>
          <w:sz w:val="32"/>
          <w:szCs w:val="32"/>
          <w:highlight w:val="none"/>
          <w:shd w:val="clear" w:fill="FFFFFF"/>
        </w:rPr>
        <w:t>负责对内五区征收项目中达不成协议的进行调解。</w:t>
      </w:r>
      <w:r>
        <w:rPr>
          <w:rFonts w:hint="eastAsia" w:ascii="仿宋_GB2312" w:hAnsi="仿宋_GB2312" w:eastAsia="仿宋_GB2312" w:cs="仿宋_GB2312"/>
          <w:kern w:val="0"/>
          <w:sz w:val="32"/>
          <w:szCs w:val="32"/>
          <w:highlight w:val="none"/>
          <w:shd w:val="clear" w:fill="FFFFFF"/>
          <w:lang w:eastAsia="zh-CN"/>
        </w:rPr>
        <w:t>八是</w:t>
      </w:r>
      <w:r>
        <w:rPr>
          <w:rFonts w:hint="eastAsia" w:ascii="仿宋_GB2312" w:hAnsi="仿宋_GB2312" w:eastAsia="仿宋_GB2312" w:cs="仿宋_GB2312"/>
          <w:kern w:val="0"/>
          <w:sz w:val="32"/>
          <w:szCs w:val="32"/>
          <w:highlight w:val="none"/>
          <w:shd w:val="clear" w:fill="FFFFFF"/>
        </w:rPr>
        <w:t>负责对内五区征收工作人员进行业务培训。</w:t>
      </w:r>
      <w:r>
        <w:rPr>
          <w:rFonts w:hint="eastAsia" w:ascii="仿宋_GB2312" w:hAnsi="仿宋_GB2312" w:eastAsia="仿宋_GB2312" w:cs="仿宋_GB2312"/>
          <w:kern w:val="0"/>
          <w:sz w:val="32"/>
          <w:szCs w:val="32"/>
          <w:highlight w:val="none"/>
          <w:shd w:val="clear" w:fill="FFFFFF"/>
          <w:lang w:eastAsia="zh-CN"/>
        </w:rPr>
        <w:t>九是</w:t>
      </w:r>
      <w:r>
        <w:rPr>
          <w:rFonts w:hint="eastAsia" w:ascii="仿宋_GB2312" w:hAnsi="仿宋_GB2312" w:eastAsia="仿宋_GB2312" w:cs="仿宋_GB2312"/>
          <w:kern w:val="0"/>
          <w:sz w:val="32"/>
          <w:szCs w:val="32"/>
          <w:highlight w:val="none"/>
          <w:shd w:val="clear" w:fill="FFFFFF"/>
        </w:rPr>
        <w:t>负责对内五区征收补偿安置资金的监管。</w:t>
      </w:r>
      <w:r>
        <w:rPr>
          <w:rFonts w:hint="eastAsia" w:ascii="仿宋_GB2312" w:hAnsi="仿宋_GB2312" w:eastAsia="仿宋_GB2312" w:cs="仿宋_GB2312"/>
          <w:kern w:val="0"/>
          <w:sz w:val="32"/>
          <w:szCs w:val="32"/>
          <w:highlight w:val="none"/>
          <w:shd w:val="clear" w:fill="FFFFFF"/>
          <w:lang w:eastAsia="zh-CN"/>
        </w:rPr>
        <w:t>十是</w:t>
      </w:r>
      <w:r>
        <w:rPr>
          <w:rFonts w:hint="eastAsia" w:ascii="仿宋_GB2312" w:hAnsi="仿宋_GB2312" w:eastAsia="仿宋_GB2312" w:cs="仿宋_GB2312"/>
          <w:kern w:val="0"/>
          <w:sz w:val="32"/>
          <w:szCs w:val="32"/>
          <w:highlight w:val="none"/>
          <w:shd w:val="clear" w:fill="FFFFFF"/>
        </w:rPr>
        <w:t>负责全市征收评估工作的管理。</w:t>
      </w:r>
      <w:r>
        <w:rPr>
          <w:rFonts w:hint="eastAsia" w:ascii="仿宋_GB2312" w:hAnsi="仿宋_GB2312" w:eastAsia="仿宋_GB2312" w:cs="仿宋_GB2312"/>
          <w:kern w:val="0"/>
          <w:sz w:val="32"/>
          <w:szCs w:val="32"/>
          <w:highlight w:val="none"/>
          <w:shd w:val="clear" w:fill="FFFFFF"/>
          <w:lang w:eastAsia="zh-CN"/>
        </w:rPr>
        <w:t>十一是</w:t>
      </w:r>
      <w:r>
        <w:rPr>
          <w:rFonts w:hint="eastAsia" w:ascii="仿宋_GB2312" w:hAnsi="仿宋_GB2312" w:eastAsia="仿宋_GB2312" w:cs="仿宋_GB2312"/>
          <w:kern w:val="0"/>
          <w:sz w:val="32"/>
          <w:szCs w:val="32"/>
          <w:highlight w:val="none"/>
          <w:shd w:val="clear" w:fill="FFFFFF"/>
        </w:rPr>
        <w:t>负责内五区征收拆除工程的安全监管。</w:t>
      </w:r>
      <w:r>
        <w:rPr>
          <w:rFonts w:hint="eastAsia" w:ascii="仿宋_GB2312" w:hAnsi="仿宋_GB2312" w:eastAsia="仿宋_GB2312" w:cs="仿宋_GB2312"/>
          <w:kern w:val="0"/>
          <w:sz w:val="32"/>
          <w:szCs w:val="32"/>
          <w:highlight w:val="none"/>
          <w:shd w:val="clear" w:fill="FFFFFF"/>
          <w:lang w:eastAsia="zh-CN"/>
        </w:rPr>
        <w:t>十二是</w:t>
      </w:r>
      <w:r>
        <w:rPr>
          <w:rFonts w:hint="eastAsia" w:ascii="仿宋_GB2312" w:hAnsi="仿宋_GB2312" w:eastAsia="仿宋_GB2312" w:cs="仿宋_GB2312"/>
          <w:kern w:val="0"/>
          <w:sz w:val="32"/>
          <w:szCs w:val="32"/>
          <w:highlight w:val="none"/>
          <w:shd w:val="clear" w:fill="FFFFFF"/>
        </w:rPr>
        <w:t>负责建立内五区房屋征收补偿档案。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kern w:val="0"/>
          <w:sz w:val="32"/>
          <w:szCs w:val="32"/>
          <w:highlight w:val="none"/>
          <w:shd w:val="clear" w:fill="FFFFFF"/>
        </w:rPr>
      </w:pPr>
      <w:r>
        <w:rPr>
          <w:rFonts w:hint="eastAsia" w:ascii="仿宋_GB2312" w:hAnsi="仿宋_GB2312" w:eastAsia="仿宋_GB2312" w:cs="仿宋_GB2312"/>
          <w:kern w:val="0"/>
          <w:sz w:val="32"/>
          <w:szCs w:val="32"/>
          <w:highlight w:val="none"/>
          <w:shd w:val="clear" w:fill="FFFFFF"/>
          <w:lang w:val="en-US" w:eastAsia="zh-CN"/>
        </w:rPr>
        <w:t>4.</w:t>
      </w:r>
      <w:r>
        <w:rPr>
          <w:rFonts w:hint="eastAsia" w:ascii="仿宋_GB2312" w:hAnsi="仿宋_GB2312" w:eastAsia="仿宋_GB2312" w:cs="仿宋_GB2312"/>
          <w:kern w:val="0"/>
          <w:sz w:val="32"/>
          <w:szCs w:val="32"/>
          <w:highlight w:val="none"/>
          <w:shd w:val="clear" w:fill="FFFFFF"/>
        </w:rPr>
        <w:t>重点工作计划：</w:t>
      </w:r>
      <w:r>
        <w:rPr>
          <w:rFonts w:hint="eastAsia" w:ascii="仿宋_GB2312" w:eastAsia="仿宋_GB2312" w:cs="仿宋_GB2312"/>
          <w:color w:val="000000"/>
          <w:sz w:val="32"/>
          <w:szCs w:val="32"/>
          <w:lang w:val="en-US" w:eastAsia="zh-CN"/>
        </w:rPr>
        <w:t>2022年，我办以习近平新时代中国特色社会主义思想和党的二十大精神为指导，</w:t>
      </w:r>
      <w:r>
        <w:rPr>
          <w:rFonts w:hint="eastAsia" w:ascii="仿宋_GB2312" w:hAnsi="仿宋_GB2312" w:eastAsia="仿宋_GB2312" w:cs="仿宋_GB2312"/>
          <w:color w:val="000000"/>
          <w:sz w:val="32"/>
          <w:szCs w:val="32"/>
          <w:lang w:val="en-US" w:eastAsia="zh-CN"/>
        </w:rPr>
        <w:t>以“强省会”战略和建设现代化新长沙目标为引领，</w:t>
      </w:r>
      <w:r>
        <w:rPr>
          <w:rFonts w:hint="eastAsia" w:ascii="仿宋_GB2312" w:eastAsia="仿宋_GB2312" w:cs="仿宋_GB2312"/>
          <w:color w:val="000000"/>
          <w:sz w:val="32"/>
          <w:szCs w:val="32"/>
          <w:lang w:val="en-US" w:eastAsia="zh-CN"/>
        </w:rPr>
        <w:t>围绕“工作提质年”主线，抬高坐标、奋发作为，</w:t>
      </w:r>
      <w:r>
        <w:rPr>
          <w:rFonts w:hint="eastAsia" w:ascii="仿宋_GB2312" w:hAnsi="仿宋_GB2312" w:eastAsia="仿宋_GB2312" w:cs="仿宋_GB2312"/>
          <w:kern w:val="0"/>
          <w:sz w:val="32"/>
          <w:szCs w:val="32"/>
          <w:highlight w:val="none"/>
          <w:shd w:val="clear" w:fill="FFFFFF"/>
        </w:rPr>
        <w:t>全力抓好征收监管、拆除监管、城市更新三个重点工作；突出抓好政策研究、优化征收方式、推动信息建设三个要点工作；强化党的建设、征收队伍建设、资金监管、信访化解、法治保障五个基础工作。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eastAsia="楷体_GB2312"/>
          <w:b/>
          <w:sz w:val="32"/>
          <w:szCs w:val="32"/>
          <w:highlight w:val="none"/>
        </w:rPr>
      </w:pPr>
      <w:r>
        <w:rPr>
          <w:rFonts w:eastAsia="楷体_GB2312"/>
          <w:b/>
          <w:sz w:val="32"/>
          <w:szCs w:val="32"/>
          <w:highlight w:val="none"/>
        </w:rPr>
        <w:t>（二）部门（单位）整体支出规模、使用方向和主要内容、涉及范围等。</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1.我单位本年度总支出为1489.52万元，全部为一般公共预算财政拨款支出。 </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2.部门支出使用方向、主要内容及涉及范围 ： 按支出功能分类包括两大类：第一类为住宅建设与房地产市场监管1362.36万元，主要为工资福利支出、公用经费支出、对个人和家庭的补助、城市房屋征收和补偿专项经费支出；第二类为其他城乡社区支出127.15万元，全部为征收补偿信息系统二期项目建设经费支出。 按支出性质分为基本支出和项目支出两类。第一类基本支出1306.28万元，主要用于在职职工工资、福利、社保、聘用人员经费、退休人员个人及家庭补助等人员经费支出和日常办公公用经费支出；第二类项目支出183.24万元，其中城市房屋征收和补偿专项经费支出56.08万元，执行率为88.45%；征收补偿信息系统二期项目建设经费支出127.15万元，执行率为100%。本年支出按经济分类划分，其中工资福利支出1061.08万元，商品和服务支出188.80万元，对个人和家庭的补助120.36万元，资本性支出119.28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eastAsia="黑体"/>
          <w:sz w:val="32"/>
          <w:szCs w:val="32"/>
          <w:highlight w:val="none"/>
          <w:lang w:val="en-US" w:eastAsia="zh-CN"/>
        </w:rPr>
      </w:pPr>
      <w:r>
        <w:rPr>
          <w:rFonts w:hint="eastAsia" w:eastAsia="黑体"/>
          <w:sz w:val="32"/>
          <w:szCs w:val="32"/>
          <w:highlight w:val="none"/>
          <w:lang w:val="en-US" w:eastAsia="zh-CN"/>
        </w:rPr>
        <w:t>二、一般公共预算支出情况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eastAsia="楷体_GB2312"/>
          <w:b/>
          <w:bCs/>
          <w:sz w:val="32"/>
          <w:szCs w:val="32"/>
          <w:highlight w:val="none"/>
        </w:rPr>
      </w:pPr>
      <w:r>
        <w:rPr>
          <w:rFonts w:eastAsia="楷体_GB2312"/>
          <w:b/>
          <w:bCs/>
          <w:sz w:val="32"/>
          <w:szCs w:val="32"/>
          <w:highlight w:val="none"/>
        </w:rPr>
        <w:t>（一）基本支出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1.主要用途：基本支出1306.28万元，主要用于在编人员工资、福利、社保、聘用人员经费、退休人员及家庭补助等人员经费支出和日常办公公用经费支出。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2.使用范围：基本支出1306.28万元，其中：人员经费支出为1181.43万元，其中工资福利支出1061.07万元，对个人和家庭的补助120.36万元；商品和服务支出为124.85万元，明细如下：办公费1.41万元、邮电费0.47万元、差旅费2.67万元、维修（护）费0.38万元、工会经费4.7万元、福利费0.84万元、其他交通费用34.39万元、其他商品和服务支出79.98万元。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3.资金管理情况：我单位根据财政相关规定、充分争取各</w:t>
      </w:r>
      <w:r>
        <w:rPr>
          <w:rFonts w:hint="eastAsia" w:eastAsia="仿宋_GB2312" w:cs="Times New Roman"/>
          <w:kern w:val="2"/>
          <w:sz w:val="32"/>
          <w:szCs w:val="32"/>
          <w:highlight w:val="none"/>
          <w:lang w:val="en-US" w:eastAsia="zh-CN" w:bidi="ar-SA"/>
        </w:rPr>
        <w:t>部(</w:t>
      </w:r>
      <w:r>
        <w:rPr>
          <w:rFonts w:hint="eastAsia" w:ascii="Times New Roman" w:hAnsi="Times New Roman" w:eastAsia="仿宋_GB2312" w:cs="Times New Roman"/>
          <w:kern w:val="2"/>
          <w:sz w:val="32"/>
          <w:szCs w:val="32"/>
          <w:highlight w:val="none"/>
          <w:lang w:val="en-US" w:eastAsia="zh-CN" w:bidi="ar-SA"/>
        </w:rPr>
        <w:t>室</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意见、依据下一年度工作铺排编制年度部门预算初稿，经“三重一大”会议通过后，报主管局、财政局审批后形成最终部门预算。在预算执行时，严格按照内控制度中大额资金管理办法、财务支出审批制度、政府采购制度等，各项支出层层审核严格把关。严格按照年初制定的预算绩效目标，优先保障履行基本职能职责所必需的经费，为各项工作运转顺畅保驾护航，严格控制其他弹性支出，建立重大问题集体研究制度，提高行政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三公”经费支出情况：我单位2022年严格执行公务用车、公务出国、公务接待的各项规定，公务用车预算数为1.5万元、公务出国0元、公务接待0.5万元元。2022年我单位保留公务用车1台，支出金额1.36万元，主要用于日常公务车维修、保险、用油等支出；2022年公务出国决算数为0万元，没有发生；2022年我单位严格按制度进行公务接待、严格陪餐人数，全年公务接待1批次、15人，支出金额为0.20万元，连续多年“三公”经费保持低位。为规范“三公”经费管理，我单位本着厉行节约的原则，结合实际情况，严格控制三公经费，我办制定了长沙市城市房屋征收和补偿管理办公室公务用车管理制度、国内公务接待管理办法等一系列规章制度，对公务用车实行派车单制度、车辆使用范围、用油、维修保养及公务接待范围、标准、种类等进行了明确规定；三公经费使用明细由民主理财监督小组审定后，每季度在公示栏进行公示，接受群众监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eastAsia="仿宋_GB2312"/>
          <w:sz w:val="32"/>
          <w:szCs w:val="32"/>
          <w:highlight w:val="none"/>
        </w:rPr>
      </w:pPr>
      <w:r>
        <w:rPr>
          <w:rFonts w:eastAsia="楷体_GB2312"/>
          <w:b/>
          <w:bCs/>
          <w:sz w:val="32"/>
          <w:szCs w:val="32"/>
          <w:highlight w:val="none"/>
        </w:rPr>
        <w:t>（二）项目支出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本单位专项资金全部来源于财政经费拨款，2022年专项经费财政预算为190.55万元，分别为城市房屋征收和补偿专项经费63.4万元；征收补偿信息系统二期项目建设经费127.15万元。2022年专项资金财政预算安排很好地落实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2.本单位专项资金实际支出183.24万元，执行率为96.16%。 支出明细如下：城市房屋征收和补偿专项经费支出56.08万元，执行率为88.45%；征收补偿信息系统二期项目建设经费支出127.15万元，执行率为100%。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3.我单位在预算编制中强调对业务所需要的项目资金从实际出发，加强科学论证，确保资金分配的科学合理。各</w:t>
      </w:r>
      <w:r>
        <w:rPr>
          <w:rFonts w:hint="eastAsia" w:eastAsia="仿宋_GB2312" w:cs="Times New Roman"/>
          <w:kern w:val="2"/>
          <w:sz w:val="32"/>
          <w:szCs w:val="32"/>
          <w:highlight w:val="none"/>
          <w:lang w:val="en-US" w:eastAsia="zh-CN" w:bidi="ar-SA"/>
        </w:rPr>
        <w:t>部</w:t>
      </w:r>
      <w:r>
        <w:rPr>
          <w:rFonts w:hint="eastAsia" w:ascii="仿宋_GB2312" w:hAnsi="仿宋_GB2312" w:eastAsia="仿宋_GB2312" w:cs="仿宋_GB2312"/>
          <w:bCs/>
          <w:sz w:val="32"/>
          <w:szCs w:val="32"/>
          <w:highlight w:val="none"/>
          <w:lang w:val="en-US" w:eastAsia="zh-CN"/>
        </w:rPr>
        <w:t>（室）</w:t>
      </w:r>
      <w:r>
        <w:rPr>
          <w:rFonts w:hint="eastAsia" w:ascii="Times New Roman" w:hAnsi="Times New Roman" w:eastAsia="仿宋_GB2312" w:cs="Times New Roman"/>
          <w:kern w:val="2"/>
          <w:sz w:val="32"/>
          <w:szCs w:val="32"/>
          <w:highlight w:val="none"/>
          <w:lang w:val="en-US" w:eastAsia="zh-CN" w:bidi="ar-SA"/>
        </w:rPr>
        <w:t xml:space="preserve">使用项目经费本着勤俭节约的原则严格按批复的预算安排好全年的经费支出，实行项目管理，不随意变更资金用途，确需改变预算资金使用的，按相关规定报告市财政局批准后调整使用，确保专款专用及资金使用效益。（1）管理制度：我单位项目经费的管理上执行《长沙市城市房屋征收和补偿管理办公室大额资金管理制度》、《长沙市城市房屋征收和补偿管理办公室财务支出审批制度》、《长沙市征收办政府采购管理办法》、《长沙市征收办办公用品管理制度》等。 （2）办法的制定情况：为加强和规范财政专项资金管理，提高财政专项资金使用效益，有效发挥财政专项资金的导向和激励作用，根据《中华人民共和国预算法》、《中华人民共和国会计法》、《长沙市人民政府关于印发 &lt;长沙市财政专项资金管理办法&gt;的通知》（长政发〔2016〕3号）等财经法规和资金管理规章制度，结合工作实际，制定相关办法。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eastAsia="黑体"/>
          <w:bCs/>
          <w:sz w:val="32"/>
          <w:szCs w:val="32"/>
          <w:highlight w:val="none"/>
        </w:rPr>
      </w:pPr>
      <w:r>
        <w:rPr>
          <w:rFonts w:eastAsia="黑体"/>
          <w:bCs/>
          <w:sz w:val="32"/>
          <w:szCs w:val="32"/>
          <w:highlight w:val="none"/>
        </w:rPr>
        <w:t>三、部门项目组织实施情况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ascii="Times New Roman" w:hAnsi="Times New Roman" w:eastAsia="楷体_GB2312" w:cs="Times New Roman"/>
          <w:b/>
          <w:bCs/>
          <w:sz w:val="32"/>
          <w:szCs w:val="32"/>
          <w:highlight w:val="none"/>
        </w:rPr>
      </w:pPr>
      <w:r>
        <w:rPr>
          <w:rFonts w:hint="eastAsia" w:ascii="Times New Roman" w:hAnsi="Times New Roman" w:eastAsia="楷体_GB2312" w:cs="Times New Roman"/>
          <w:b/>
          <w:bCs/>
          <w:sz w:val="32"/>
          <w:szCs w:val="32"/>
          <w:highlight w:val="none"/>
        </w:rPr>
        <w:t>（一）</w:t>
      </w:r>
      <w:r>
        <w:rPr>
          <w:rFonts w:ascii="Times New Roman" w:hAnsi="Times New Roman" w:eastAsia="楷体_GB2312" w:cs="Times New Roman"/>
          <w:b/>
          <w:bCs/>
          <w:sz w:val="32"/>
          <w:szCs w:val="32"/>
          <w:highlight w:val="none"/>
        </w:rPr>
        <w:t>项目组织情况分析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项目招投标情况：根据政府采购规定在政府集中采购目录以外且未达到限额标准的项目实行自行采购。自行采购采取公开招标、邀请招标、竞争性谈判、单一来源、询价等方式采购。凡政府采购货物或服务项目采购金额达到100万元以上的，必须采用公开招标方式；政府采购工程项目公开招标数额标准按照国家有关规定执行。 “长沙市智慧人居平台—征收补偿信息系统二期”项目经市政府批准建设，可为被征收对象提供公开透明的征收及周边服务，达到规范征收、阳光征收、方便惠民的目的。财政评审中心审定工程建设总投资金额为455.56万元。2021年，根据政府采购规定，征收补偿信息系统二期通过公开招投标，确定中标单位为中科软科技股份有限公司，并签订了《服务类项目政府采购合同协议书》。项目可行性研究报告咨询服务、招标代理服务、等级保护测评技术服务、密码测评服务、软件测评服务采用询价方式选定相关服务机构，法规</w:t>
      </w:r>
      <w:r>
        <w:rPr>
          <w:rFonts w:hint="eastAsia" w:eastAsia="仿宋_GB2312" w:cs="Times New Roman"/>
          <w:kern w:val="2"/>
          <w:sz w:val="32"/>
          <w:szCs w:val="32"/>
          <w:highlight w:val="none"/>
          <w:lang w:val="en-US" w:eastAsia="zh-CN" w:bidi="ar-SA"/>
        </w:rPr>
        <w:t>室</w:t>
      </w:r>
      <w:r>
        <w:rPr>
          <w:rFonts w:hint="eastAsia" w:ascii="Times New Roman" w:hAnsi="Times New Roman" w:eastAsia="仿宋_GB2312" w:cs="Times New Roman"/>
          <w:kern w:val="2"/>
          <w:sz w:val="32"/>
          <w:szCs w:val="32"/>
          <w:highlight w:val="none"/>
          <w:lang w:val="en-US" w:eastAsia="zh-CN" w:bidi="ar-SA"/>
        </w:rPr>
        <w:t>进行合法性审查后、报领导审批签订合同。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2.项目验收情况：日常办公用品的验收一般由3人及以上单数人员组成，采取简易验收方式的，由综合</w:t>
      </w:r>
      <w:r>
        <w:rPr>
          <w:rFonts w:hint="eastAsia" w:eastAsia="仿宋_GB2312" w:cs="Times New Roman"/>
          <w:kern w:val="2"/>
          <w:sz w:val="32"/>
          <w:szCs w:val="32"/>
          <w:highlight w:val="none"/>
          <w:lang w:val="en-US" w:eastAsia="zh-CN" w:bidi="ar-SA"/>
        </w:rPr>
        <w:t>部</w:t>
      </w:r>
      <w:r>
        <w:rPr>
          <w:rFonts w:hint="eastAsia" w:ascii="Times New Roman" w:hAnsi="Times New Roman" w:eastAsia="仿宋_GB2312" w:cs="Times New Roman"/>
          <w:kern w:val="2"/>
          <w:sz w:val="32"/>
          <w:szCs w:val="32"/>
          <w:highlight w:val="none"/>
          <w:lang w:val="en-US" w:eastAsia="zh-CN" w:bidi="ar-SA"/>
        </w:rPr>
        <w:t>、财务</w:t>
      </w:r>
      <w:r>
        <w:rPr>
          <w:rFonts w:hint="eastAsia" w:eastAsia="仿宋_GB2312" w:cs="Times New Roman"/>
          <w:kern w:val="2"/>
          <w:sz w:val="32"/>
          <w:szCs w:val="32"/>
          <w:highlight w:val="none"/>
          <w:lang w:val="en-US" w:eastAsia="zh-CN" w:bidi="ar-SA"/>
        </w:rPr>
        <w:t>室</w:t>
      </w:r>
      <w:r>
        <w:rPr>
          <w:rFonts w:hint="eastAsia" w:ascii="Times New Roman" w:hAnsi="Times New Roman" w:eastAsia="仿宋_GB2312" w:cs="Times New Roman"/>
          <w:kern w:val="2"/>
          <w:sz w:val="32"/>
          <w:szCs w:val="32"/>
          <w:highlight w:val="none"/>
          <w:lang w:val="en-US" w:eastAsia="zh-CN" w:bidi="ar-SA"/>
        </w:rPr>
        <w:t>、采购</w:t>
      </w:r>
      <w:r>
        <w:rPr>
          <w:rFonts w:hint="eastAsia" w:eastAsia="仿宋_GB2312" w:cs="Times New Roman"/>
          <w:kern w:val="2"/>
          <w:sz w:val="32"/>
          <w:szCs w:val="32"/>
          <w:highlight w:val="none"/>
          <w:lang w:val="en-US" w:eastAsia="zh-CN" w:bidi="ar-SA"/>
        </w:rPr>
        <w:t>部</w:t>
      </w:r>
      <w:r>
        <w:rPr>
          <w:rFonts w:hint="eastAsia" w:ascii="仿宋_GB2312" w:hAnsi="仿宋_GB2312" w:eastAsia="仿宋_GB2312" w:cs="仿宋_GB2312"/>
          <w:bCs/>
          <w:sz w:val="32"/>
          <w:szCs w:val="32"/>
          <w:highlight w:val="none"/>
          <w:lang w:val="en-US" w:eastAsia="zh-CN"/>
        </w:rPr>
        <w:t>（室）</w:t>
      </w:r>
      <w:r>
        <w:rPr>
          <w:rFonts w:hint="eastAsia" w:ascii="Times New Roman" w:hAnsi="Times New Roman" w:eastAsia="仿宋_GB2312" w:cs="Times New Roman"/>
          <w:kern w:val="2"/>
          <w:sz w:val="32"/>
          <w:szCs w:val="32"/>
          <w:highlight w:val="none"/>
          <w:lang w:val="en-US" w:eastAsia="zh-CN" w:bidi="ar-SA"/>
        </w:rPr>
        <w:t>非采购人员组成；采取一般验收程序的，由采购人代表、验收专家等组成不少于5人（或以上单数）的验收小组，采购人代表不得超过验收小组成员总数的三分之一。验收小组需熟悉所采购业务基本情况，在对所验收采购事项认真清点、查验、核实。 信息系统建设等专项验收在政府采购合同中约定了验收方式，如征收补偿信息系统二期软件开发服务在合同中详细约定了初验和终验时间：第一次付款时间为合同签订并生效后20个工作日内，支付合同总额的35%；第二次付款时间为通过初验，付款合同总额的35%；第三次付款时间为项目终验合格后20个工作日内，支付合同总额的25%；第四次付款时间为验收合格一年后，支付合同总额的5%。2022年5月，征收补偿信息系统二期</w:t>
      </w:r>
      <w:r>
        <w:rPr>
          <w:rFonts w:hint="eastAsia" w:eastAsia="仿宋_GB2312" w:cs="Times New Roman"/>
          <w:kern w:val="2"/>
          <w:sz w:val="32"/>
          <w:szCs w:val="32"/>
          <w:highlight w:val="none"/>
          <w:lang w:val="en-US" w:eastAsia="zh-CN" w:bidi="ar-SA"/>
        </w:rPr>
        <w:t>项目</w:t>
      </w:r>
      <w:r>
        <w:rPr>
          <w:rFonts w:hint="eastAsia" w:ascii="Times New Roman" w:hAnsi="Times New Roman" w:eastAsia="仿宋_GB2312" w:cs="Times New Roman"/>
          <w:kern w:val="2"/>
          <w:sz w:val="32"/>
          <w:szCs w:val="32"/>
          <w:highlight w:val="none"/>
          <w:lang w:val="en-US" w:eastAsia="zh-CN" w:bidi="ar-SA"/>
        </w:rPr>
        <w:t>完成初验，2022年12月通过长沙市数据资源管理局竣工验收。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Times New Roman" w:hAnsi="Times New Roman" w:eastAsia="楷体_GB2312" w:cs="Times New Roman"/>
          <w:b/>
          <w:bCs/>
          <w:sz w:val="32"/>
          <w:szCs w:val="32"/>
          <w:highlight w:val="none"/>
        </w:rPr>
      </w:pPr>
      <w:r>
        <w:rPr>
          <w:rFonts w:hint="eastAsia" w:ascii="Times New Roman" w:hAnsi="Times New Roman" w:eastAsia="楷体_GB2312" w:cs="Times New Roman"/>
          <w:b/>
          <w:bCs/>
          <w:sz w:val="32"/>
          <w:szCs w:val="32"/>
          <w:highlight w:val="none"/>
        </w:rPr>
        <w:t>（二）项目管理情况分析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我单位不断完善单位内部控制，规范单位项目资金管理，提高资金使用效率，严格执行《党政机关例行节约反对浪费条例》、《关于进一步规范用款计划和资金支付申报工作的通知》等文件精神，制定了《预算管理办法》、《大额资金管理制度》、《内部稽核制度》等一系列制度，所有项目资金均实行预算管理、集体决策、总额控制、实报实销，节约成本、注重实效的原则。 在日常检查、监督管理上严格执行《长沙市征收办政府采购管理办法》规定。成立政府采购工作领导小组，负责建立、完善单位政府采购工作制度；督导、检查采购组和验收组履行职责；审议或审定单位政府采购工作议案。领导小组下设采购组、验收组和监察室会同相关业务</w:t>
      </w:r>
      <w:r>
        <w:rPr>
          <w:rFonts w:hint="eastAsia" w:eastAsia="仿宋_GB2312" w:cs="Times New Roman"/>
          <w:kern w:val="2"/>
          <w:sz w:val="32"/>
          <w:szCs w:val="32"/>
          <w:highlight w:val="none"/>
          <w:lang w:val="en-US" w:eastAsia="zh-CN" w:bidi="ar-SA"/>
        </w:rPr>
        <w:t>部</w:t>
      </w:r>
      <w:r>
        <w:rPr>
          <w:rFonts w:hint="eastAsia" w:ascii="仿宋_GB2312" w:hAnsi="仿宋_GB2312" w:eastAsia="仿宋_GB2312" w:cs="仿宋_GB2312"/>
          <w:bCs/>
          <w:sz w:val="32"/>
          <w:szCs w:val="32"/>
          <w:highlight w:val="none"/>
          <w:lang w:val="en-US" w:eastAsia="zh-CN"/>
        </w:rPr>
        <w:t>（室）</w:t>
      </w:r>
      <w:r>
        <w:rPr>
          <w:rFonts w:hint="eastAsia" w:ascii="Times New Roman" w:hAnsi="Times New Roman" w:eastAsia="仿宋_GB2312" w:cs="Times New Roman"/>
          <w:kern w:val="2"/>
          <w:sz w:val="32"/>
          <w:szCs w:val="32"/>
          <w:highlight w:val="none"/>
          <w:lang w:val="en-US" w:eastAsia="zh-CN" w:bidi="ar-SA"/>
        </w:rPr>
        <w:t>负责对项目的实施情况进行日常检查监督管理。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755" w:firstLineChars="235"/>
        <w:textAlignment w:val="auto"/>
        <w:rPr>
          <w:rFonts w:hint="eastAsia" w:ascii="仿宋_GB2312" w:eastAsia="仿宋_GB2312"/>
          <w:b/>
          <w:sz w:val="32"/>
          <w:szCs w:val="32"/>
          <w:highlight w:val="none"/>
        </w:rPr>
      </w:pPr>
      <w:r>
        <w:rPr>
          <w:rFonts w:hint="eastAsia" w:ascii="仿宋_GB2312" w:eastAsia="仿宋_GB2312"/>
          <w:b/>
          <w:sz w:val="32"/>
          <w:szCs w:val="32"/>
          <w:highlight w:val="none"/>
        </w:rPr>
        <w:t>四、资产管理情况</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1.制度建设：我单位固定资产管理实行“统一领导、归口管理、分级负责、责任到人”的管理体制，根据《长沙市城市房屋征收和补偿管理办公室固定资产管理制度》由综合部统一归口管理，派专人负责固定资产实物日常管理，财务室负责固定资产系统填报维护。本单位固定资产管理情况较好，对资产购入、处置严格按资产管理部门相关规定办理，无办公用房超标情况，保障了国有资产的安全和效益。 </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日常管理措施：一是组织质保期内设备的维护保养等；二是组织清查国有资产，开展日常监督检查；三是严格国有资产调拨、出租、出借、报损、报失、报废程序；四是管理国有资产价值形态，确保财务账与资产账相符；五是组织长期闲置、低效运转和超标准配置资产的调剂工作，优化资产配置，促进共享共用。</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3. 固定资产配置管理。固定资产项目申报政府采购的，要严格按固定资产配置计划申报，无配置计划的不予采购，资产购置按流程进行审批。对于新购资产，综合部和财务室凭发票和领用单及时登记资产财务账和实物明细。资产管理人员应当对购置的资产进行验收、登记，录入资产管理信息系统，切实实行“一物一卡一条码”管理，并及时进行账务处理。 </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4.资产处置程序：严格执行国家法律法规和申报审批制度，严格履行审批收，各部</w:t>
      </w:r>
      <w:r>
        <w:rPr>
          <w:rFonts w:hint="eastAsia" w:ascii="仿宋_GB2312" w:hAnsi="仿宋_GB2312" w:eastAsia="仿宋_GB2312" w:cs="仿宋_GB2312"/>
          <w:bCs/>
          <w:sz w:val="32"/>
          <w:szCs w:val="32"/>
          <w:highlight w:val="none"/>
          <w:lang w:val="en-US" w:eastAsia="zh-CN"/>
        </w:rPr>
        <w:t>（室）</w:t>
      </w:r>
      <w:r>
        <w:rPr>
          <w:rFonts w:hint="eastAsia" w:ascii="Times New Roman" w:hAnsi="Times New Roman" w:eastAsia="仿宋_GB2312" w:cs="Times New Roman"/>
          <w:kern w:val="2"/>
          <w:sz w:val="32"/>
          <w:szCs w:val="32"/>
          <w:highlight w:val="none"/>
          <w:lang w:val="en-US" w:eastAsia="zh-CN" w:bidi="ar-SA"/>
        </w:rPr>
        <w:t>不得随意处置固定资产，调拨、捐赠、报废、变卖、转让等均应报办综合部，由综合部和财务室会审报经办分管领导同意后报市人居环境局、市财政批准，按市财政规定办理资产处置手续。</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5.2022年，我单位按流程新增固定资产原值12.23万元，为通用设备；征收补偿信息系统二期项目于2022年竣工验收，确认为无形资产，原值为367.27万元；报废一批固定资产，共150件家具用具，资产原值23.92万元，处置收益为0元；本期无新增出租出借资产及对外投资；无利用国有资产对外投资、出租出借或处置国有资产取得的收益。2022年末总资产478.16万元，其中流动资产5.21万元占比1.09%，固定资产净值62.98万元占比13.17%，无形资产净值409.97万元占比85.74%。</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ascii="Times New Roman" w:hAnsi="Times New Roman" w:eastAsia="黑体"/>
          <w:sz w:val="32"/>
          <w:szCs w:val="32"/>
          <w:highlight w:val="none"/>
        </w:rPr>
      </w:pPr>
      <w:r>
        <w:rPr>
          <w:rFonts w:ascii="Times New Roman" w:hAnsi="Times New Roman" w:eastAsia="黑体"/>
          <w:sz w:val="32"/>
          <w:szCs w:val="32"/>
          <w:highlight w:val="none"/>
        </w:rPr>
        <w:t>五、政府性基金预算支出情况</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无。</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ascii="Times New Roman" w:hAnsi="Times New Roman" w:eastAsia="黑体"/>
          <w:sz w:val="32"/>
          <w:szCs w:val="32"/>
          <w:highlight w:val="none"/>
        </w:rPr>
      </w:pPr>
      <w:r>
        <w:rPr>
          <w:rFonts w:ascii="Times New Roman" w:hAnsi="Times New Roman" w:eastAsia="黑体"/>
          <w:sz w:val="32"/>
          <w:szCs w:val="32"/>
          <w:highlight w:val="none"/>
        </w:rPr>
        <w:t>六、国有资本经营预算支出情况</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ascii="Times New Roman" w:hAnsi="Times New Roman" w:eastAsia="黑体"/>
          <w:sz w:val="32"/>
          <w:szCs w:val="32"/>
          <w:highlight w:val="none"/>
        </w:rPr>
      </w:pPr>
      <w:r>
        <w:rPr>
          <w:rFonts w:hint="eastAsia" w:ascii="Times New Roman" w:hAnsi="Times New Roman" w:eastAsia="仿宋_GB2312"/>
          <w:sz w:val="32"/>
          <w:szCs w:val="32"/>
          <w:highlight w:val="none"/>
        </w:rPr>
        <w:t>无。</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ascii="Times New Roman" w:hAnsi="Times New Roman" w:eastAsia="黑体"/>
          <w:sz w:val="32"/>
          <w:szCs w:val="32"/>
          <w:highlight w:val="none"/>
        </w:rPr>
      </w:pPr>
      <w:r>
        <w:rPr>
          <w:rFonts w:ascii="Times New Roman" w:hAnsi="Times New Roman" w:eastAsia="黑体"/>
          <w:sz w:val="32"/>
          <w:szCs w:val="32"/>
          <w:highlight w:val="none"/>
        </w:rPr>
        <w:t>七、社会保险基金预算支出情况</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ascii="Times New Roman" w:hAnsi="Times New Roman" w:eastAsia="黑体"/>
          <w:sz w:val="32"/>
          <w:szCs w:val="32"/>
          <w:highlight w:val="none"/>
        </w:rPr>
      </w:pPr>
      <w:r>
        <w:rPr>
          <w:rFonts w:hint="eastAsia" w:ascii="Times New Roman" w:hAnsi="Times New Roman" w:eastAsia="仿宋_GB2312"/>
          <w:sz w:val="32"/>
          <w:szCs w:val="32"/>
          <w:highlight w:val="none"/>
        </w:rPr>
        <w:t>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eastAsia="黑体"/>
          <w:sz w:val="32"/>
          <w:szCs w:val="32"/>
          <w:highlight w:val="none"/>
        </w:rPr>
      </w:pPr>
      <w:r>
        <w:rPr>
          <w:rFonts w:eastAsia="黑体"/>
          <w:sz w:val="32"/>
          <w:szCs w:val="32"/>
          <w:highlight w:val="none"/>
        </w:rPr>
        <w:t>八、部门整体支出绩效情况</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eastAsia="仿宋_GB2312"/>
          <w:color w:val="000000"/>
          <w:sz w:val="32"/>
          <w:szCs w:val="32"/>
          <w:highlight w:val="none"/>
        </w:rPr>
      </w:pPr>
      <w:r>
        <w:rPr>
          <w:rFonts w:hint="eastAsia" w:eastAsia="仿宋_GB2312"/>
          <w:color w:val="000000"/>
          <w:sz w:val="32"/>
          <w:szCs w:val="32"/>
          <w:highlight w:val="none"/>
          <w:lang w:val="en-US" w:eastAsia="zh-CN"/>
        </w:rPr>
        <w:t>1.运行成本</w:t>
      </w:r>
      <w:r>
        <w:rPr>
          <w:rFonts w:hint="eastAsia" w:eastAsia="仿宋_GB2312"/>
          <w:color w:val="000000"/>
          <w:sz w:val="32"/>
          <w:szCs w:val="32"/>
          <w:highlight w:val="none"/>
        </w:rPr>
        <w:t>分析：我单位通过建立、健全内部控制工作建设，完善财务制度，宣传、树立机关节约意识等一系列手段，所有资金严格按照财务制度和预算执行，严格按照项目预算经费审核使用，推进城市房屋征收工作健康发展。202</w:t>
      </w:r>
      <w:r>
        <w:rPr>
          <w:rFonts w:hint="eastAsia" w:eastAsia="仿宋_GB2312"/>
          <w:color w:val="000000"/>
          <w:sz w:val="32"/>
          <w:szCs w:val="32"/>
          <w:highlight w:val="none"/>
          <w:lang w:val="en-US" w:eastAsia="zh-CN"/>
        </w:rPr>
        <w:t>2</w:t>
      </w:r>
      <w:r>
        <w:rPr>
          <w:rFonts w:hint="eastAsia" w:eastAsia="仿宋_GB2312"/>
          <w:color w:val="000000"/>
          <w:sz w:val="32"/>
          <w:szCs w:val="32"/>
          <w:highlight w:val="none"/>
        </w:rPr>
        <w:t>年一般公共预算支出预算数为</w:t>
      </w:r>
      <w:r>
        <w:rPr>
          <w:rFonts w:hint="eastAsia" w:eastAsia="仿宋_GB2312"/>
          <w:color w:val="000000"/>
          <w:sz w:val="32"/>
          <w:szCs w:val="32"/>
          <w:highlight w:val="none"/>
          <w:lang w:val="en-US" w:eastAsia="zh-CN"/>
        </w:rPr>
        <w:t>1557.23</w:t>
      </w:r>
      <w:r>
        <w:rPr>
          <w:rFonts w:hint="eastAsia" w:eastAsia="仿宋_GB2312"/>
          <w:color w:val="000000"/>
          <w:sz w:val="32"/>
          <w:szCs w:val="32"/>
          <w:highlight w:val="none"/>
        </w:rPr>
        <w:t>万元，决算数为</w:t>
      </w:r>
      <w:r>
        <w:rPr>
          <w:rFonts w:hint="eastAsia" w:eastAsia="仿宋_GB2312"/>
          <w:color w:val="000000"/>
          <w:sz w:val="32"/>
          <w:szCs w:val="32"/>
          <w:highlight w:val="none"/>
          <w:lang w:val="en-US" w:eastAsia="zh-CN"/>
        </w:rPr>
        <w:t>1489.52</w:t>
      </w:r>
      <w:r>
        <w:rPr>
          <w:rFonts w:hint="eastAsia" w:eastAsia="仿宋_GB2312"/>
          <w:color w:val="000000"/>
          <w:sz w:val="32"/>
          <w:szCs w:val="32"/>
          <w:highlight w:val="none"/>
        </w:rPr>
        <w:t>万元，项目预算执行率达9</w:t>
      </w:r>
      <w:r>
        <w:rPr>
          <w:rFonts w:hint="eastAsia" w:eastAsia="仿宋_GB2312"/>
          <w:color w:val="000000"/>
          <w:sz w:val="32"/>
          <w:szCs w:val="32"/>
          <w:highlight w:val="none"/>
          <w:lang w:val="en-US" w:eastAsia="zh-CN"/>
        </w:rPr>
        <w:t>5.65</w:t>
      </w:r>
      <w:r>
        <w:rPr>
          <w:rFonts w:hint="eastAsia" w:eastAsia="仿宋_GB2312"/>
          <w:color w:val="000000"/>
          <w:sz w:val="32"/>
          <w:szCs w:val="32"/>
          <w:highlight w:val="none"/>
        </w:rPr>
        <w:t xml:space="preserve">%，执行率较好，有力保证了工作的开展；在保障本单位履行基本职能、职责所必需的人员经费和项目经费的基础上，严格控制其他弹性支出，严控“四费”，制定一系列规章制度进行管控，厉行节约，反对浪费，会议费、培训费、三公经费连续几年保持低位。 </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eastAsia="仿宋_GB2312"/>
          <w:color w:val="000000"/>
          <w:sz w:val="32"/>
          <w:szCs w:val="32"/>
          <w:highlight w:val="none"/>
        </w:rPr>
      </w:pPr>
      <w:r>
        <w:rPr>
          <w:rFonts w:hint="eastAsia" w:eastAsia="仿宋_GB2312"/>
          <w:color w:val="000000"/>
          <w:sz w:val="32"/>
          <w:szCs w:val="32"/>
          <w:highlight w:val="none"/>
          <w:lang w:val="en-US" w:eastAsia="zh-CN"/>
        </w:rPr>
        <w:t>2.管理效率</w:t>
      </w:r>
      <w:r>
        <w:rPr>
          <w:rFonts w:hint="eastAsia" w:eastAsia="仿宋_GB2312"/>
          <w:color w:val="000000"/>
          <w:sz w:val="32"/>
          <w:szCs w:val="32"/>
          <w:highlight w:val="none"/>
        </w:rPr>
        <w:t>分析：一是</w:t>
      </w:r>
      <w:r>
        <w:rPr>
          <w:rFonts w:hint="eastAsia" w:eastAsia="仿宋_GB2312"/>
          <w:color w:val="000000"/>
          <w:sz w:val="32"/>
          <w:szCs w:val="32"/>
          <w:highlight w:val="none"/>
          <w:lang w:val="en-US" w:eastAsia="zh-CN"/>
        </w:rPr>
        <w:t>按照年初预算申报计划，全年有计划地进行经费支出，</w:t>
      </w:r>
      <w:r>
        <w:rPr>
          <w:rFonts w:hint="eastAsia" w:eastAsia="仿宋_GB2312"/>
          <w:color w:val="000000"/>
          <w:sz w:val="32"/>
          <w:szCs w:val="32"/>
          <w:highlight w:val="none"/>
        </w:rPr>
        <w:t>保障</w:t>
      </w:r>
      <w:r>
        <w:rPr>
          <w:rFonts w:hint="eastAsia" w:eastAsia="仿宋_GB2312"/>
          <w:color w:val="000000"/>
          <w:sz w:val="32"/>
          <w:szCs w:val="32"/>
          <w:highlight w:val="none"/>
          <w:lang w:val="en-US" w:eastAsia="zh-CN"/>
        </w:rPr>
        <w:t>行政</w:t>
      </w:r>
      <w:r>
        <w:rPr>
          <w:rFonts w:hint="eastAsia" w:eastAsia="仿宋_GB2312"/>
          <w:color w:val="000000"/>
          <w:sz w:val="32"/>
          <w:szCs w:val="32"/>
          <w:highlight w:val="none"/>
        </w:rPr>
        <w:t xml:space="preserve">经费按工作进度、按工作要求及时支付到位；二是定时进行资产盘点，建立资产台账，每月填报资产月报，对不能使用的资产进行报废，对闲置资产进行盘活，充分发挥资产的使用价值；三是及时进行预算调整，出现办公场所搬迁等重要性工作后，及时向主管单位人居局、财政局汇报，对预算进行合理调增，保障了全市城市房屋征收工作的推进，圆满完成了年初绩效目标任务，交出了一份高质量房屋征收的精彩答卷。 </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color w:val="000000"/>
          <w:sz w:val="32"/>
          <w:szCs w:val="32"/>
          <w:lang w:val="en-US" w:eastAsia="zh-CN"/>
        </w:rPr>
      </w:pPr>
      <w:r>
        <w:rPr>
          <w:rFonts w:hint="eastAsia" w:eastAsia="仿宋_GB2312"/>
          <w:color w:val="000000"/>
          <w:sz w:val="32"/>
          <w:szCs w:val="32"/>
          <w:highlight w:val="none"/>
          <w:lang w:val="en-US" w:eastAsia="zh-CN"/>
        </w:rPr>
        <w:t>3.履职效能、社会效应、服务对象满意度</w:t>
      </w:r>
      <w:r>
        <w:rPr>
          <w:rFonts w:hint="eastAsia" w:eastAsia="仿宋_GB2312"/>
          <w:color w:val="000000"/>
          <w:sz w:val="32"/>
          <w:szCs w:val="32"/>
          <w:highlight w:val="none"/>
        </w:rPr>
        <w:t>分析：</w:t>
      </w:r>
      <w:r>
        <w:rPr>
          <w:rFonts w:hint="eastAsia" w:eastAsia="仿宋_GB2312"/>
          <w:color w:val="000000"/>
          <w:sz w:val="32"/>
          <w:szCs w:val="32"/>
          <w:highlight w:val="none"/>
          <w:lang w:val="en-US" w:eastAsia="zh-CN"/>
        </w:rPr>
        <w:t>2022年度，我单位</w:t>
      </w:r>
      <w:r>
        <w:rPr>
          <w:rFonts w:hint="eastAsia" w:eastAsia="仿宋_GB2312"/>
          <w:b/>
          <w:bCs/>
          <w:color w:val="000000"/>
          <w:sz w:val="32"/>
          <w:szCs w:val="32"/>
          <w:highlight w:val="none"/>
          <w:lang w:val="en-US" w:eastAsia="zh-CN"/>
        </w:rPr>
        <w:t>一是</w:t>
      </w:r>
      <w:r>
        <w:rPr>
          <w:rFonts w:hint="eastAsia" w:eastAsia="仿宋_GB2312"/>
          <w:color w:val="000000"/>
          <w:sz w:val="32"/>
          <w:szCs w:val="32"/>
          <w:highlight w:val="none"/>
          <w:lang w:val="en-US" w:eastAsia="zh-CN"/>
        </w:rPr>
        <w:t>聚焦“提质”抓项目建设。</w:t>
      </w:r>
      <w:r>
        <w:rPr>
          <w:rFonts w:hint="eastAsia" w:ascii="仿宋_GB2312" w:hAnsi="仿宋_GB2312" w:eastAsia="仿宋_GB2312" w:cs="仿宋_GB2312"/>
          <w:b w:val="0"/>
          <w:bCs w:val="0"/>
          <w:color w:val="000000"/>
          <w:sz w:val="32"/>
          <w:szCs w:val="32"/>
          <w:lang w:val="en-US" w:eastAsia="zh-CN"/>
        </w:rPr>
        <w:t>督促指导各区按照决策民主、程序正当、资金到位的要求铺排新项目启动。</w:t>
      </w:r>
      <w:r>
        <w:rPr>
          <w:rFonts w:hint="eastAsia" w:ascii="仿宋_GB2312" w:eastAsia="仿宋_GB2312" w:cs="仿宋_GB2312"/>
          <w:color w:val="000000"/>
          <w:sz w:val="32"/>
          <w:szCs w:val="32"/>
          <w:lang w:val="en-US" w:eastAsia="zh-CN"/>
        </w:rPr>
        <w:t>全年</w:t>
      </w:r>
      <w:r>
        <w:rPr>
          <w:rFonts w:hint="eastAsia" w:ascii="仿宋_GB2312" w:hAnsi="仿宋_GB2312" w:eastAsia="仿宋_GB2312" w:cs="仿宋_GB2312"/>
          <w:b w:val="0"/>
          <w:bCs w:val="0"/>
          <w:color w:val="000000"/>
          <w:sz w:val="32"/>
          <w:szCs w:val="32"/>
          <w:u w:val="none"/>
          <w:lang w:val="en-US" w:eastAsia="zh-CN"/>
        </w:rPr>
        <w:t>审批征收补偿方案17</w:t>
      </w:r>
      <w:r>
        <w:rPr>
          <w:rFonts w:hint="eastAsia" w:ascii="仿宋_GB2312" w:hAnsi="仿宋_GB2312" w:eastAsia="仿宋_GB2312" w:cs="仿宋_GB2312"/>
          <w:b w:val="0"/>
          <w:bCs w:val="0"/>
          <w:color w:val="000000"/>
          <w:sz w:val="32"/>
          <w:szCs w:val="32"/>
        </w:rPr>
        <w:t>个，其中棚改项目</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个，基础设施项目</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个</w:t>
      </w:r>
      <w:r>
        <w:rPr>
          <w:rFonts w:hint="eastAsia" w:ascii="仿宋_GB2312" w:hAnsi="仿宋_GB2312" w:eastAsia="仿宋_GB2312" w:cs="仿宋_GB2312"/>
          <w:b w:val="0"/>
          <w:bCs w:val="0"/>
          <w:color w:val="000000"/>
          <w:sz w:val="32"/>
          <w:szCs w:val="32"/>
          <w:lang w:val="en-US" w:eastAsia="zh-CN"/>
        </w:rPr>
        <w:t>,城市更新项目2个；</w:t>
      </w:r>
      <w:r>
        <w:rPr>
          <w:rFonts w:hint="eastAsia" w:ascii="仿宋_GB2312" w:hAnsi="仿宋_GB2312" w:eastAsia="仿宋_GB2312" w:cs="仿宋_GB2312"/>
          <w:color w:val="000000"/>
          <w:sz w:val="32"/>
          <w:szCs w:val="32"/>
          <w:lang w:val="en-US" w:eastAsia="zh-CN"/>
        </w:rPr>
        <w:t>坚持倒排工期、挂牌督战，推动芙蓉区</w:t>
      </w:r>
      <w:r>
        <w:rPr>
          <w:rFonts w:hint="eastAsia" w:ascii="仿宋_GB2312" w:hAnsi="仿宋_GB2312" w:eastAsia="仿宋_GB2312" w:cs="仿宋_GB2312"/>
          <w:color w:val="000000"/>
          <w:sz w:val="32"/>
          <w:szCs w:val="32"/>
        </w:rPr>
        <w:t>合平路（远大路—人民东路）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天心区</w:t>
      </w:r>
      <w:r>
        <w:rPr>
          <w:rFonts w:hint="eastAsia" w:ascii="仿宋_GB2312" w:hAnsi="仿宋_GB2312" w:eastAsia="仿宋_GB2312" w:cs="仿宋_GB2312"/>
          <w:color w:val="000000"/>
          <w:sz w:val="32"/>
          <w:szCs w:val="32"/>
          <w:lang w:eastAsia="zh-CN"/>
        </w:rPr>
        <w:t>新开铺路423号（S1、S2、S3）地块棚改、</w:t>
      </w:r>
      <w:r>
        <w:rPr>
          <w:rFonts w:hint="eastAsia" w:ascii="仿宋_GB2312" w:hAnsi="仿宋_GB2312" w:eastAsia="仿宋_GB2312" w:cs="仿宋_GB2312"/>
          <w:color w:val="000000"/>
          <w:sz w:val="32"/>
          <w:szCs w:val="32"/>
          <w:lang w:val="en-US" w:eastAsia="zh-CN"/>
        </w:rPr>
        <w:t>岳麓区</w:t>
      </w:r>
      <w:r>
        <w:rPr>
          <w:rFonts w:hint="eastAsia" w:ascii="仿宋_GB2312" w:hAnsi="仿宋_GB2312" w:eastAsia="仿宋_GB2312" w:cs="仿宋_GB2312"/>
          <w:color w:val="000000"/>
          <w:sz w:val="32"/>
          <w:szCs w:val="32"/>
          <w:lang w:eastAsia="zh-CN"/>
        </w:rPr>
        <w:t>铬盐厂生活区地块棚改、</w:t>
      </w:r>
      <w:r>
        <w:rPr>
          <w:rFonts w:hint="eastAsia" w:ascii="仿宋_GB2312" w:hAnsi="仿宋_GB2312" w:eastAsia="仿宋_GB2312" w:cs="仿宋_GB2312"/>
          <w:color w:val="000000"/>
          <w:sz w:val="32"/>
          <w:szCs w:val="32"/>
        </w:rPr>
        <w:t>开福区太平路片区棚改、雨花区友谊小学等</w:t>
      </w:r>
      <w:r>
        <w:rPr>
          <w:rFonts w:hint="eastAsia" w:ascii="仿宋_GB2312" w:hAnsi="仿宋_GB2312" w:eastAsia="仿宋_GB2312" w:cs="仿宋_GB2312"/>
          <w:color w:val="000000"/>
          <w:sz w:val="32"/>
          <w:szCs w:val="32"/>
          <w:lang w:eastAsia="zh-CN"/>
        </w:rPr>
        <w:t>一批情况复杂的</w:t>
      </w:r>
      <w:r>
        <w:rPr>
          <w:rFonts w:hint="eastAsia" w:ascii="仿宋_GB2312" w:hAnsi="仿宋_GB2312" w:eastAsia="仿宋_GB2312" w:cs="仿宋_GB2312"/>
          <w:color w:val="000000"/>
          <w:sz w:val="32"/>
          <w:szCs w:val="32"/>
          <w:lang w:val="en-US" w:eastAsia="zh-CN"/>
        </w:rPr>
        <w:t>扫尾</w:t>
      </w:r>
      <w:r>
        <w:rPr>
          <w:rFonts w:hint="eastAsia" w:ascii="仿宋_GB2312" w:hAnsi="仿宋_GB2312" w:eastAsia="仿宋_GB2312" w:cs="仿宋_GB2312"/>
          <w:color w:val="000000"/>
          <w:sz w:val="32"/>
          <w:szCs w:val="32"/>
        </w:rPr>
        <w:t>项目完成</w:t>
      </w:r>
      <w:r>
        <w:rPr>
          <w:rFonts w:hint="eastAsia" w:ascii="仿宋_GB2312" w:hAnsi="仿宋_GB2312" w:eastAsia="仿宋_GB2312" w:cs="仿宋_GB2312"/>
          <w:color w:val="000000"/>
          <w:sz w:val="32"/>
          <w:szCs w:val="32"/>
          <w:lang w:eastAsia="zh-CN"/>
        </w:rPr>
        <w:t>腾地结算，</w:t>
      </w:r>
      <w:r>
        <w:rPr>
          <w:rFonts w:hint="eastAsia" w:ascii="仿宋_GB2312" w:hAnsi="仿宋_GB2312" w:eastAsia="仿宋_GB2312" w:cs="仿宋_GB2312"/>
          <w:color w:val="000000"/>
          <w:sz w:val="32"/>
          <w:szCs w:val="32"/>
        </w:rPr>
        <w:t>为后期项目成本核算、土地出让提供了有力支持。</w:t>
      </w:r>
      <w:r>
        <w:rPr>
          <w:rFonts w:hint="eastAsia" w:ascii="仿宋_GB2312" w:hAnsi="仿宋_GB2312" w:eastAsia="仿宋_GB2312" w:cs="仿宋_GB2312"/>
          <w:color w:val="000000"/>
          <w:sz w:val="32"/>
          <w:szCs w:val="32"/>
          <w:lang w:val="en-US" w:eastAsia="zh-CN"/>
        </w:rPr>
        <w:t>制定专项方案，强化工作措施，大力推动</w:t>
      </w:r>
      <w:r>
        <w:rPr>
          <w:rFonts w:hint="eastAsia" w:ascii="仿宋_GB2312" w:hAnsi="仿宋_GB2312" w:eastAsia="仿宋_GB2312" w:cs="仿宋_GB2312"/>
          <w:color w:val="000000"/>
          <w:sz w:val="32"/>
          <w:szCs w:val="32"/>
        </w:rPr>
        <w:t>市级统贷平台</w:t>
      </w:r>
      <w:r>
        <w:rPr>
          <w:rFonts w:hint="eastAsia" w:ascii="仿宋_GB2312" w:hAnsi="仿宋_GB2312" w:eastAsia="仿宋_GB2312" w:cs="仿宋_GB2312"/>
          <w:color w:val="000000"/>
          <w:sz w:val="32"/>
          <w:szCs w:val="32"/>
          <w:lang w:val="en-US" w:eastAsia="zh-CN"/>
        </w:rPr>
        <w:t>棚改</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扫尾结算</w:t>
      </w:r>
      <w:r>
        <w:rPr>
          <w:rFonts w:hint="eastAsia" w:ascii="仿宋_GB2312" w:hAnsi="仿宋_GB2312" w:eastAsia="仿宋_GB2312" w:cs="仿宋_GB2312"/>
          <w:color w:val="000000"/>
          <w:sz w:val="32"/>
          <w:szCs w:val="32"/>
          <w:lang w:val="en-US" w:eastAsia="zh-CN"/>
        </w:rPr>
        <w:t>及资金退回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市级统贷平台列入考核任务的棚改项目16个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目前</w:t>
      </w:r>
      <w:r>
        <w:rPr>
          <w:rFonts w:hint="eastAsia" w:ascii="仿宋_GB2312" w:hAnsi="仿宋_GB2312" w:eastAsia="仿宋_GB2312" w:cs="仿宋_GB2312"/>
          <w:color w:val="000000"/>
          <w:sz w:val="32"/>
          <w:szCs w:val="32"/>
        </w:rPr>
        <w:t>西文庙坪、东风二村地块棚改（二期）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劳动东路两厢棚改A地块、王公塘（长钢）片区一期等</w:t>
      </w:r>
      <w:r>
        <w:rPr>
          <w:rFonts w:hint="eastAsia" w:ascii="仿宋_GB2312" w:hAnsi="仿宋_GB2312" w:eastAsia="仿宋_GB2312" w:cs="仿宋_GB2312"/>
          <w:color w:val="000000"/>
          <w:sz w:val="32"/>
          <w:szCs w:val="32"/>
          <w:lang w:val="en-US" w:eastAsia="zh-CN"/>
        </w:rPr>
        <w:t>4个</w:t>
      </w:r>
      <w:r>
        <w:rPr>
          <w:rFonts w:hint="eastAsia" w:ascii="仿宋_GB2312" w:hAnsi="仿宋_GB2312" w:eastAsia="仿宋_GB2312" w:cs="仿宋_GB2312"/>
          <w:color w:val="000000"/>
          <w:sz w:val="32"/>
          <w:szCs w:val="32"/>
        </w:rPr>
        <w:t>项目完成</w:t>
      </w:r>
      <w:r>
        <w:rPr>
          <w:rFonts w:hint="eastAsia" w:ascii="仿宋_GB2312" w:hAnsi="仿宋_GB2312" w:eastAsia="仿宋_GB2312" w:cs="仿宋_GB2312"/>
          <w:color w:val="000000"/>
          <w:sz w:val="32"/>
          <w:szCs w:val="32"/>
          <w:lang w:val="en-US" w:eastAsia="zh-CN"/>
        </w:rPr>
        <w:t>结算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六堆子巷周边（青少年宫以北）地块棚改（一期）、劳动东路两厢棚改B、Ｃ、Ｄ地块、王公塘（长钢）片区二三期、长沙市橡胶厂及周边棚改Ｅ地块、二十三冶棚改一期</w:t>
      </w:r>
      <w:r>
        <w:rPr>
          <w:rFonts w:hint="eastAsia" w:ascii="仿宋_GB2312" w:hAnsi="仿宋_GB2312" w:eastAsia="仿宋_GB2312" w:cs="仿宋_GB2312"/>
          <w:color w:val="000000"/>
          <w:sz w:val="32"/>
          <w:szCs w:val="32"/>
          <w:lang w:val="en-US" w:eastAsia="zh-CN"/>
        </w:rPr>
        <w:t>等8个</w:t>
      </w:r>
      <w:r>
        <w:rPr>
          <w:rFonts w:hint="eastAsia" w:ascii="仿宋_GB2312" w:hAnsi="仿宋_GB2312" w:eastAsia="仿宋_GB2312" w:cs="仿宋_GB2312"/>
          <w:color w:val="000000"/>
          <w:sz w:val="32"/>
          <w:szCs w:val="32"/>
        </w:rPr>
        <w:t>项目完成</w:t>
      </w:r>
      <w:r>
        <w:rPr>
          <w:rFonts w:hint="eastAsia" w:ascii="仿宋_GB2312" w:hAnsi="仿宋_GB2312" w:eastAsia="仿宋_GB2312" w:cs="仿宋_GB2312"/>
          <w:color w:val="000000"/>
          <w:sz w:val="32"/>
          <w:szCs w:val="32"/>
          <w:lang w:val="en-US" w:eastAsia="zh-CN"/>
        </w:rPr>
        <w:t>签约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突出主动服务，深入项目一线，宣传征收政策，协调征收矛盾，破解征收难题，协助</w:t>
      </w:r>
      <w:r>
        <w:rPr>
          <w:rFonts w:hint="eastAsia" w:ascii="仿宋_GB2312" w:hAnsi="仿宋_GB2312" w:eastAsia="仿宋_GB2312" w:cs="仿宋_GB2312"/>
          <w:color w:val="000000"/>
          <w:sz w:val="32"/>
          <w:szCs w:val="32"/>
          <w:lang w:eastAsia="zh-CN"/>
        </w:rPr>
        <w:t>市政府</w:t>
      </w:r>
      <w:r>
        <w:rPr>
          <w:rFonts w:hint="eastAsia" w:ascii="仿宋_GB2312" w:hAnsi="仿宋_GB2312" w:eastAsia="仿宋_GB2312" w:cs="仿宋_GB2312"/>
          <w:color w:val="000000"/>
          <w:sz w:val="32"/>
          <w:szCs w:val="32"/>
          <w:lang w:val="en-US" w:eastAsia="zh-CN"/>
        </w:rPr>
        <w:t>成功开展天心区</w:t>
      </w:r>
      <w:r>
        <w:rPr>
          <w:rFonts w:hint="eastAsia" w:ascii="仿宋_GB2312" w:hAnsi="仿宋_GB2312" w:eastAsia="仿宋_GB2312" w:cs="仿宋_GB2312"/>
          <w:color w:val="000000"/>
          <w:sz w:val="32"/>
          <w:szCs w:val="32"/>
          <w:lang w:eastAsia="zh-CN"/>
        </w:rPr>
        <w:t>青山祠</w:t>
      </w:r>
      <w:r>
        <w:rPr>
          <w:rFonts w:hint="eastAsia" w:ascii="仿宋_GB2312" w:hAnsi="仿宋_GB2312" w:eastAsia="仿宋_GB2312" w:cs="仿宋_GB2312"/>
          <w:color w:val="000000"/>
          <w:sz w:val="32"/>
          <w:szCs w:val="32"/>
          <w:lang w:val="en-US" w:eastAsia="zh-CN"/>
        </w:rPr>
        <w:t>42号危房排危，有效处置</w:t>
      </w:r>
      <w:r>
        <w:rPr>
          <w:rFonts w:hint="eastAsia" w:ascii="仿宋_GB2312" w:hAnsi="仿宋_GB2312" w:eastAsia="仿宋_GB2312" w:cs="仿宋_GB2312"/>
          <w:color w:val="000000"/>
          <w:sz w:val="32"/>
          <w:szCs w:val="32"/>
        </w:rPr>
        <w:t>潘家坪道路项目住改商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长房集团长胜公房拆迁安置、劳动路汽配厂企业改制公房拆迁、劳动路金谷公司与华恒公司路幅征拆补偿纠纷等难点问题，有力促进了依法征收、和谐征收。</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聚焦“提标”抓行业管理。</w:t>
      </w:r>
      <w:r>
        <w:rPr>
          <w:rFonts w:hint="eastAsia" w:ascii="仿宋_GB2312" w:hAnsi="仿宋_GB2312" w:eastAsia="仿宋_GB2312" w:cs="仿宋_GB2312"/>
          <w:b w:val="0"/>
          <w:bCs w:val="0"/>
          <w:color w:val="000000"/>
          <w:sz w:val="32"/>
          <w:szCs w:val="32"/>
          <w:lang w:val="en-US" w:eastAsia="zh-CN"/>
        </w:rPr>
        <w:t>制定完善项目联系人工作制度、搬迁补助操作指导意见、协议征收操作办法，进一步规范房屋征收监管工作；积极研发推广长沙市智慧人居平台-征收补偿信息系统（二期），</w:t>
      </w:r>
      <w:r>
        <w:rPr>
          <w:rFonts w:hint="eastAsia" w:ascii="仿宋_GB2312" w:hAnsi="仿宋_GB2312" w:eastAsia="仿宋_GB2312" w:cs="仿宋_GB2312"/>
          <w:color w:val="000000"/>
          <w:sz w:val="32"/>
          <w:szCs w:val="32"/>
          <w:lang w:val="en-US" w:eastAsia="zh-CN"/>
        </w:rPr>
        <w:t>制定</w:t>
      </w:r>
      <w:r>
        <w:rPr>
          <w:rFonts w:hint="eastAsia" w:ascii="仿宋_GB2312" w:hAnsi="仿宋_GB2312" w:eastAsia="仿宋_GB2312" w:cs="仿宋_GB2312"/>
          <w:color w:val="000000"/>
          <w:sz w:val="32"/>
          <w:szCs w:val="32"/>
        </w:rPr>
        <w:t>《征收</w:t>
      </w:r>
      <w:r>
        <w:rPr>
          <w:rFonts w:hint="eastAsia" w:ascii="仿宋_GB2312" w:hAnsi="仿宋_GB2312" w:eastAsia="仿宋_GB2312" w:cs="仿宋_GB2312"/>
          <w:color w:val="000000"/>
          <w:sz w:val="32"/>
          <w:szCs w:val="32"/>
          <w:lang w:val="en-US" w:eastAsia="zh-CN"/>
        </w:rPr>
        <w:t>与</w:t>
      </w:r>
      <w:r>
        <w:rPr>
          <w:rFonts w:hint="eastAsia" w:ascii="仿宋_GB2312" w:hAnsi="仿宋_GB2312" w:eastAsia="仿宋_GB2312" w:cs="仿宋_GB2312"/>
          <w:color w:val="000000"/>
          <w:sz w:val="32"/>
          <w:szCs w:val="32"/>
        </w:rPr>
        <w:t>补偿信息系统应用实施方案》，成立信息系统应用实施领导小组，明确信息系统应用实施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工作表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线路图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。多</w:t>
      </w:r>
      <w:r>
        <w:rPr>
          <w:rFonts w:hint="eastAsia" w:ascii="仿宋_GB2312" w:hAnsi="仿宋_GB2312" w:eastAsia="仿宋_GB2312" w:cs="仿宋_GB2312"/>
          <w:color w:val="000000"/>
          <w:sz w:val="32"/>
          <w:szCs w:val="32"/>
          <w:lang w:val="en-US" w:eastAsia="zh-CN"/>
        </w:rPr>
        <w:t>层次</w:t>
      </w:r>
      <w:r>
        <w:rPr>
          <w:rFonts w:hint="eastAsia" w:ascii="仿宋_GB2312" w:hAnsi="仿宋_GB2312" w:eastAsia="仿宋_GB2312" w:cs="仿宋_GB2312"/>
          <w:color w:val="000000"/>
          <w:sz w:val="32"/>
          <w:szCs w:val="32"/>
        </w:rPr>
        <w:t>组织召开信息系统演示暨培训会，对征收信息系统的运行和相关操作进行讲解和培训。</w:t>
      </w:r>
      <w:r>
        <w:rPr>
          <w:rFonts w:hint="eastAsia" w:ascii="仿宋_GB2312" w:hAnsi="仿宋_GB2312" w:eastAsia="仿宋_GB2312" w:cs="仿宋_GB2312"/>
          <w:color w:val="000000"/>
          <w:sz w:val="32"/>
          <w:szCs w:val="32"/>
          <w:lang w:val="en-US" w:eastAsia="zh-CN"/>
        </w:rPr>
        <w:t>信息系统现已</w:t>
      </w:r>
      <w:r>
        <w:rPr>
          <w:rFonts w:hint="eastAsia" w:ascii="仿宋_GB2312" w:hAnsi="仿宋_GB2312" w:eastAsia="仿宋_GB2312" w:cs="仿宋_GB2312"/>
          <w:color w:val="000000"/>
          <w:sz w:val="32"/>
          <w:szCs w:val="32"/>
        </w:rPr>
        <w:t>通过市数据资源局组织的竣工验收，正式进入应用实施阶段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全年备案拆除工程项目24个，结算拆除工程项目43个，拆除面积24.58万平方米；</w:t>
      </w:r>
      <w:r>
        <w:rPr>
          <w:rFonts w:hint="eastAsia" w:ascii="仿宋_GB2312" w:hAnsi="仿宋_GB2312" w:eastAsia="仿宋_GB2312" w:cs="仿宋_GB2312"/>
          <w:color w:val="000000"/>
          <w:sz w:val="32"/>
          <w:szCs w:val="32"/>
          <w:lang w:val="en-US" w:eastAsia="zh-CN"/>
        </w:rPr>
        <w:t>严格征收资金监控，全年新增征收补偿监控资金30.26亿元，支付征收补偿资金34.28亿元；监控行政征收强制补偿资金0.37亿元，解控行政征收强制补偿资金1.31亿元。</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val="en-US" w:eastAsia="zh-CN"/>
        </w:rPr>
        <w:t>聚焦“提效”抓阳光征收。</w:t>
      </w:r>
      <w:r>
        <w:rPr>
          <w:rFonts w:hint="eastAsia" w:ascii="仿宋_GB2312" w:hAnsi="仿宋_GB2312" w:eastAsia="仿宋_GB2312" w:cs="仿宋_GB2312"/>
          <w:b w:val="0"/>
          <w:bCs w:val="0"/>
          <w:color w:val="000000"/>
          <w:sz w:val="32"/>
          <w:szCs w:val="32"/>
          <w:lang w:val="en-US" w:eastAsia="zh-CN"/>
        </w:rPr>
        <w:t>着力抓好《奖励补助办法》《装饰装修补偿及临时安置费房屋搬迁费标准》等三个文件的落地实施，精心</w:t>
      </w:r>
      <w:r>
        <w:rPr>
          <w:rFonts w:hint="eastAsia" w:ascii="仿宋_GB2312" w:hAnsi="仿宋_GB2312" w:eastAsia="仿宋_GB2312" w:cs="仿宋_GB2312"/>
          <w:b w:val="0"/>
          <w:bCs w:val="0"/>
          <w:color w:val="000000"/>
          <w:kern w:val="2"/>
          <w:sz w:val="32"/>
          <w:szCs w:val="32"/>
          <w:lang w:val="en-US" w:eastAsia="zh-CN" w:bidi="ar-SA"/>
        </w:rPr>
        <w:t>组织编印《2022长沙市国有土地上房屋征收与补偿法规政策汇编》；</w:t>
      </w:r>
      <w:r>
        <w:rPr>
          <w:rFonts w:hint="eastAsia" w:ascii="仿宋_GB2312" w:hAnsi="仿宋_GB2312" w:eastAsia="仿宋_GB2312" w:cs="仿宋_GB2312"/>
          <w:b w:val="0"/>
          <w:bCs w:val="0"/>
          <w:color w:val="000000"/>
          <w:sz w:val="32"/>
          <w:szCs w:val="32"/>
          <w:lang w:val="en-US" w:eastAsia="zh-CN"/>
        </w:rPr>
        <w:t>坚持开门接访，</w:t>
      </w:r>
      <w:r>
        <w:rPr>
          <w:rFonts w:hint="eastAsia" w:ascii="仿宋_GB2312" w:hAnsi="仿宋_GB2312" w:eastAsia="仿宋_GB2312" w:cs="仿宋_GB2312"/>
          <w:color w:val="000000"/>
          <w:sz w:val="32"/>
          <w:szCs w:val="32"/>
        </w:rPr>
        <w:t>接待来访人员380人次，处理来信、来访、网络信访及上级交办信访件42件，出具书面告知书、信访答复意见30份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全年指导、配合</w:t>
      </w:r>
      <w:r>
        <w:rPr>
          <w:rFonts w:hint="eastAsia" w:ascii="仿宋_GB2312" w:hAnsi="仿宋_GB2312" w:eastAsia="仿宋_GB2312" w:cs="仿宋_GB2312"/>
          <w:color w:val="000000"/>
          <w:sz w:val="32"/>
          <w:szCs w:val="32"/>
        </w:rPr>
        <w:t>内五区化解信访案件</w:t>
      </w:r>
      <w:r>
        <w:rPr>
          <w:rFonts w:hint="eastAsia" w:ascii="仿宋_GB2312" w:hAnsi="仿宋_GB2312" w:eastAsia="仿宋_GB2312" w:cs="仿宋_GB2312"/>
          <w:color w:val="000000"/>
          <w:sz w:val="32"/>
          <w:szCs w:val="32"/>
          <w:lang w:val="en-US" w:eastAsia="zh-CN"/>
        </w:rPr>
        <w:t>58件；</w:t>
      </w:r>
      <w:r>
        <w:rPr>
          <w:rFonts w:hint="eastAsia" w:ascii="仿宋_GB2312" w:eastAsia="仿宋_GB2312" w:cs="仿宋_GB2312"/>
          <w:color w:val="000000"/>
          <w:sz w:val="32"/>
          <w:szCs w:val="32"/>
          <w:lang w:val="en-US" w:eastAsia="zh-CN"/>
        </w:rPr>
        <w:t>按照“公开为常态、不公开为例外”的原则，</w:t>
      </w:r>
      <w:r>
        <w:rPr>
          <w:rFonts w:hint="eastAsia" w:ascii="仿宋_GB2312" w:hAnsi="仿宋_GB2312" w:eastAsia="仿宋_GB2312" w:cs="仿宋_GB2312"/>
          <w:color w:val="000000"/>
          <w:sz w:val="32"/>
          <w:szCs w:val="32"/>
          <w:lang w:val="en-US" w:eastAsia="zh-CN"/>
        </w:rPr>
        <w:t>依法有序开展市长热线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依申请</w:t>
      </w:r>
      <w:r>
        <w:rPr>
          <w:rFonts w:hint="eastAsia" w:ascii="仿宋_GB2312" w:hAnsi="仿宋_GB2312" w:eastAsia="仿宋_GB2312" w:cs="仿宋_GB2312"/>
          <w:color w:val="000000"/>
          <w:sz w:val="32"/>
          <w:szCs w:val="32"/>
          <w:lang w:val="en-US" w:eastAsia="zh-CN"/>
        </w:rPr>
        <w:t>信息</w:t>
      </w:r>
      <w:r>
        <w:rPr>
          <w:rFonts w:hint="eastAsia" w:ascii="仿宋_GB2312" w:hAnsi="仿宋_GB2312" w:eastAsia="仿宋_GB2312" w:cs="仿宋_GB2312"/>
          <w:color w:val="000000"/>
          <w:sz w:val="32"/>
          <w:szCs w:val="32"/>
        </w:rPr>
        <w:t>公开</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及时回复市长热线</w:t>
      </w:r>
      <w:r>
        <w:rPr>
          <w:rFonts w:hint="eastAsia" w:asci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lang w:val="en-US" w:eastAsia="zh-CN"/>
        </w:rPr>
        <w:t>单，依申请公开信息</w:t>
      </w:r>
      <w:r>
        <w:rPr>
          <w:rFonts w:hint="eastAsia" w:asci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lang w:val="en-US" w:eastAsia="zh-CN"/>
        </w:rPr>
        <w:t>件，满足公众对政府信息的合理需求。</w:t>
      </w:r>
      <w:r>
        <w:rPr>
          <w:rFonts w:hint="eastAsia" w:ascii="仿宋_GB2312" w:hAnsi="仿宋_GB2312" w:eastAsia="仿宋_GB2312" w:cs="仿宋_GB2312"/>
          <w:b/>
          <w:bCs/>
          <w:color w:val="000000"/>
          <w:sz w:val="32"/>
          <w:szCs w:val="32"/>
          <w:lang w:val="en-US" w:eastAsia="zh-CN"/>
        </w:rPr>
        <w:t>四是</w:t>
      </w:r>
      <w:r>
        <w:rPr>
          <w:rFonts w:hint="eastAsia" w:ascii="仿宋_GB2312" w:hAnsi="仿宋_GB2312" w:eastAsia="仿宋_GB2312" w:cs="仿宋_GB2312"/>
          <w:color w:val="000000"/>
          <w:sz w:val="32"/>
          <w:szCs w:val="32"/>
          <w:lang w:val="en-US" w:eastAsia="zh-CN"/>
        </w:rPr>
        <w:t>聚焦“提档”抓综合保障。</w:t>
      </w:r>
      <w:r>
        <w:rPr>
          <w:rFonts w:hint="eastAsia" w:eastAsia="仿宋_GB2312"/>
          <w:color w:val="000000"/>
          <w:sz w:val="32"/>
          <w:szCs w:val="32"/>
          <w:highlight w:val="none"/>
          <w:lang w:val="en-US" w:eastAsia="zh-CN"/>
        </w:rPr>
        <w:t>着力推进党的建设，</w:t>
      </w:r>
      <w:r>
        <w:rPr>
          <w:rFonts w:hint="eastAsia" w:ascii="仿宋_GB2312" w:hAnsi="仿宋_GB2312" w:eastAsia="仿宋_GB2312" w:cs="仿宋_GB2312"/>
          <w:color w:val="000000"/>
          <w:kern w:val="2"/>
          <w:sz w:val="32"/>
          <w:szCs w:val="32"/>
          <w:lang w:val="en-US" w:eastAsia="zh-CN" w:bidi="ar-SA"/>
        </w:rPr>
        <w:t>抓实“三会一课”、组织生活会、民主评议党员、主题党日活动等党建工作</w:t>
      </w:r>
      <w:r>
        <w:rPr>
          <w:rFonts w:hint="eastAsia" w:eastAsia="仿宋_GB2312"/>
          <w:color w:val="000000"/>
          <w:sz w:val="32"/>
          <w:szCs w:val="32"/>
          <w:highlight w:val="none"/>
          <w:lang w:val="en-US" w:eastAsia="zh-CN"/>
        </w:rPr>
        <w:t>；着力推进廉政建设，加强干部廉政教育；着力推进干部建设，</w:t>
      </w:r>
      <w:r>
        <w:rPr>
          <w:rFonts w:hint="eastAsia" w:ascii="Times New Roman" w:hAnsi="Times New Roman" w:eastAsia="仿宋_GB2312" w:cs="仿宋_GB2312"/>
          <w:color w:val="000000"/>
          <w:sz w:val="32"/>
          <w:szCs w:val="32"/>
          <w:lang w:val="en-US" w:eastAsia="zh-CN"/>
        </w:rPr>
        <w:t>进一步激发干部职工干事创业活力</w:t>
      </w:r>
      <w:r>
        <w:rPr>
          <w:rFonts w:hint="eastAsia" w:eastAsia="仿宋_GB2312"/>
          <w:color w:val="000000"/>
          <w:sz w:val="32"/>
          <w:szCs w:val="32"/>
          <w:highlight w:val="none"/>
          <w:lang w:val="en-US" w:eastAsia="zh-CN"/>
        </w:rPr>
        <w:t>；着力推进文化建设，丰富干部职工文化生活；顺利完成办公场所搬迁工作，</w:t>
      </w:r>
      <w:r>
        <w:rPr>
          <w:rFonts w:hint="eastAsia" w:ascii="Times New Roman" w:hAnsi="Times New Roman" w:eastAsia="仿宋_GB2312" w:cs="仿宋_GB2312"/>
          <w:color w:val="000000"/>
          <w:kern w:val="2"/>
          <w:sz w:val="32"/>
          <w:szCs w:val="32"/>
          <w:u w:val="none"/>
          <w:lang w:val="en-US" w:eastAsia="zh-CN" w:bidi="ar-SA"/>
        </w:rPr>
        <w:t>保障了新办公楼按期投入使用和正常有序运转。</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eastAsia="仿宋_GB2312"/>
          <w:color w:val="000000"/>
          <w:sz w:val="32"/>
          <w:szCs w:val="32"/>
          <w:highlight w:val="none"/>
        </w:rPr>
      </w:pPr>
      <w:r>
        <w:rPr>
          <w:rFonts w:hint="eastAsia" w:eastAsia="仿宋_GB2312"/>
          <w:color w:val="000000"/>
          <w:sz w:val="32"/>
          <w:szCs w:val="32"/>
          <w:highlight w:val="none"/>
          <w:lang w:val="en-US" w:eastAsia="zh-CN"/>
        </w:rPr>
        <w:t>4.</w:t>
      </w:r>
      <w:r>
        <w:rPr>
          <w:rFonts w:hint="eastAsia" w:eastAsia="仿宋_GB2312"/>
          <w:color w:val="000000"/>
          <w:sz w:val="32"/>
          <w:szCs w:val="32"/>
          <w:highlight w:val="none"/>
        </w:rPr>
        <w:t>可持续</w:t>
      </w:r>
      <w:r>
        <w:rPr>
          <w:rFonts w:hint="eastAsia" w:eastAsia="仿宋_GB2312"/>
          <w:color w:val="000000"/>
          <w:sz w:val="32"/>
          <w:szCs w:val="32"/>
          <w:highlight w:val="none"/>
          <w:lang w:val="en-US" w:eastAsia="zh-CN"/>
        </w:rPr>
        <w:t>发展能力</w:t>
      </w:r>
      <w:r>
        <w:rPr>
          <w:rFonts w:hint="eastAsia" w:eastAsia="仿宋_GB2312"/>
          <w:color w:val="000000"/>
          <w:sz w:val="32"/>
          <w:szCs w:val="32"/>
          <w:highlight w:val="none"/>
        </w:rPr>
        <w:t>分析：</w:t>
      </w:r>
      <w:r>
        <w:rPr>
          <w:rFonts w:hint="default" w:ascii="Times New Roman" w:hAnsi="Times New Roman" w:eastAsia="仿宋_GB2312" w:cs="仿宋_GB2312"/>
          <w:color w:val="000000"/>
          <w:kern w:val="2"/>
          <w:sz w:val="32"/>
          <w:szCs w:val="32"/>
          <w:u w:val="none"/>
          <w:lang w:val="en-US" w:eastAsia="zh-CN" w:bidi="ar-SA"/>
        </w:rPr>
        <w:t>调增搬迁工作</w:t>
      </w:r>
      <w:r>
        <w:rPr>
          <w:rFonts w:hint="eastAsia" w:ascii="Times New Roman" w:hAnsi="Times New Roman" w:eastAsia="仿宋_GB2312" w:cs="仿宋_GB2312"/>
          <w:color w:val="000000"/>
          <w:kern w:val="2"/>
          <w:sz w:val="32"/>
          <w:szCs w:val="32"/>
          <w:u w:val="none"/>
          <w:lang w:val="en-US" w:eastAsia="zh-CN" w:bidi="ar-SA"/>
        </w:rPr>
        <w:t>专项</w:t>
      </w:r>
      <w:r>
        <w:rPr>
          <w:rFonts w:hint="default" w:ascii="Times New Roman" w:hAnsi="Times New Roman" w:eastAsia="仿宋_GB2312" w:cs="仿宋_GB2312"/>
          <w:color w:val="000000"/>
          <w:kern w:val="2"/>
          <w:sz w:val="32"/>
          <w:szCs w:val="32"/>
          <w:u w:val="none"/>
          <w:lang w:val="en-US" w:eastAsia="zh-CN" w:bidi="ar-SA"/>
        </w:rPr>
        <w:t>经费30万元</w:t>
      </w:r>
      <w:r>
        <w:rPr>
          <w:rFonts w:hint="eastAsia" w:ascii="Times New Roman" w:hAnsi="Times New Roman" w:eastAsia="仿宋_GB2312" w:cs="仿宋_GB2312"/>
          <w:color w:val="000000"/>
          <w:kern w:val="2"/>
          <w:sz w:val="32"/>
          <w:szCs w:val="32"/>
          <w:u w:val="none"/>
          <w:lang w:val="en-US" w:eastAsia="zh-CN" w:bidi="ar-SA"/>
        </w:rPr>
        <w:t>，保障了搬迁工作的顺利开展</w:t>
      </w:r>
      <w:r>
        <w:rPr>
          <w:rFonts w:hint="eastAsia" w:eastAsia="仿宋_GB2312" w:cs="仿宋_GB2312"/>
          <w:color w:val="000000"/>
          <w:kern w:val="2"/>
          <w:sz w:val="32"/>
          <w:szCs w:val="32"/>
          <w:u w:val="none"/>
          <w:lang w:val="en-US" w:eastAsia="zh-CN" w:bidi="ar-SA"/>
        </w:rPr>
        <w:t>，</w:t>
      </w:r>
      <w:r>
        <w:rPr>
          <w:rFonts w:hint="eastAsia" w:ascii="Times New Roman" w:hAnsi="Times New Roman" w:eastAsia="仿宋_GB2312" w:cs="仿宋_GB2312"/>
          <w:color w:val="000000"/>
          <w:kern w:val="2"/>
          <w:sz w:val="32"/>
          <w:szCs w:val="32"/>
          <w:u w:val="none"/>
          <w:lang w:val="en-US" w:eastAsia="zh-CN" w:bidi="ar-SA"/>
        </w:rPr>
        <w:t>保障了新办公楼按期投入使用和正常有序运转。</w:t>
      </w:r>
      <w:r>
        <w:rPr>
          <w:rFonts w:hint="eastAsia" w:eastAsia="仿宋_GB2312"/>
          <w:color w:val="000000"/>
          <w:sz w:val="32"/>
          <w:szCs w:val="32"/>
          <w:highlight w:val="none"/>
        </w:rPr>
        <w:t>征收补偿信息系统二期项目建设经费保障了征收</w:t>
      </w:r>
      <w:r>
        <w:rPr>
          <w:rFonts w:hint="eastAsia" w:eastAsia="仿宋_GB2312"/>
          <w:color w:val="000000"/>
          <w:sz w:val="32"/>
          <w:szCs w:val="32"/>
          <w:highlight w:val="none"/>
          <w:lang w:val="en-US" w:eastAsia="zh-CN"/>
        </w:rPr>
        <w:t>补偿</w:t>
      </w:r>
      <w:r>
        <w:rPr>
          <w:rFonts w:hint="eastAsia" w:eastAsia="仿宋_GB2312"/>
          <w:color w:val="000000"/>
          <w:sz w:val="32"/>
          <w:szCs w:val="32"/>
          <w:highlight w:val="none"/>
        </w:rPr>
        <w:t>信息系统二期的开发，2022年</w:t>
      </w:r>
      <w:r>
        <w:rPr>
          <w:rFonts w:hint="eastAsia" w:eastAsia="仿宋_GB2312"/>
          <w:color w:val="000000"/>
          <w:sz w:val="32"/>
          <w:szCs w:val="32"/>
          <w:highlight w:val="none"/>
          <w:lang w:val="en-US" w:eastAsia="zh-CN"/>
        </w:rPr>
        <w:t>完成竣工验收，正式进入应用实施阶段</w:t>
      </w:r>
      <w:r>
        <w:rPr>
          <w:rFonts w:hint="eastAsia" w:eastAsia="仿宋_GB2312"/>
          <w:color w:val="000000"/>
          <w:sz w:val="32"/>
          <w:szCs w:val="32"/>
          <w:highlight w:val="none"/>
        </w:rPr>
        <w:t>。为规范我市城市房屋征收行为，推进依法征收、公开征收、透明征收、阳光征收提供了续航力</w:t>
      </w: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为人居环境改善提供数据服务</w:t>
      </w:r>
      <w:r>
        <w:rPr>
          <w:rFonts w:hint="eastAsia" w:eastAsia="仿宋_GB2312"/>
          <w:color w:val="000000"/>
          <w:sz w:val="32"/>
          <w:szCs w:val="32"/>
          <w:highlight w:val="none"/>
        </w:rPr>
        <w:t>。</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ascii="Times New Roman" w:hAnsi="Times New Roman" w:eastAsia="黑体"/>
          <w:sz w:val="32"/>
          <w:szCs w:val="32"/>
          <w:highlight w:val="none"/>
        </w:rPr>
      </w:pPr>
      <w:r>
        <w:rPr>
          <w:rFonts w:ascii="Times New Roman" w:hAnsi="Times New Roman" w:eastAsia="黑体"/>
          <w:sz w:val="32"/>
          <w:szCs w:val="32"/>
          <w:highlight w:val="none"/>
        </w:rPr>
        <w:t>九、存在的问题及原因分析</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行政支付截止时间安排不够科学，年末有小部分资金未成功支付，影响了城市房屋征收和补偿专项经费的预算执行率。出现问题的主要原因：往年行政资金支付系统关闭日期为12月31日，我单位2022年行政资金支付计划截止时间为12月31日。因临时接到通知，提前关闭行政资金支付系统，且受疫情影响，有小部分项目资金未成功支付。</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eastAsia="黑体"/>
          <w:sz w:val="32"/>
          <w:szCs w:val="32"/>
          <w:highlight w:val="none"/>
        </w:rPr>
      </w:pPr>
      <w:r>
        <w:rPr>
          <w:rFonts w:hint="eastAsia" w:eastAsia="黑体"/>
          <w:sz w:val="32"/>
          <w:szCs w:val="32"/>
          <w:highlight w:val="none"/>
          <w:lang w:eastAsia="zh-CN"/>
        </w:rPr>
        <w:t>十、</w:t>
      </w:r>
      <w:r>
        <w:rPr>
          <w:rFonts w:eastAsia="黑体"/>
          <w:sz w:val="32"/>
          <w:szCs w:val="32"/>
          <w:highlight w:val="none"/>
        </w:rPr>
        <w:t>下一步改进措施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一是每月初及时统计</w:t>
      </w:r>
      <w:r>
        <w:rPr>
          <w:rFonts w:hint="eastAsia" w:eastAsia="仿宋_GB2312" w:cs="Times New Roman"/>
          <w:color w:val="000000"/>
          <w:kern w:val="2"/>
          <w:sz w:val="32"/>
          <w:szCs w:val="32"/>
          <w:highlight w:val="none"/>
          <w:lang w:val="en-US" w:eastAsia="zh-CN" w:bidi="ar-SA"/>
        </w:rPr>
        <w:t>部门</w:t>
      </w:r>
      <w:r>
        <w:rPr>
          <w:rFonts w:hint="eastAsia" w:ascii="Times New Roman" w:hAnsi="Times New Roman" w:eastAsia="仿宋_GB2312" w:cs="Times New Roman"/>
          <w:color w:val="000000"/>
          <w:kern w:val="2"/>
          <w:sz w:val="32"/>
          <w:szCs w:val="32"/>
          <w:highlight w:val="none"/>
          <w:lang w:val="en-US" w:eastAsia="zh-CN" w:bidi="ar-SA"/>
        </w:rPr>
        <w:t>预算执行情况，科学合理的安排预算支出；二是提前行政资金支付的截止时间，确保资金在12月中旬前支付完成</w:t>
      </w:r>
      <w:r>
        <w:rPr>
          <w:rFonts w:hint="eastAsia" w:eastAsia="仿宋_GB2312" w:cs="Times New Roman"/>
          <w:color w:val="000000"/>
          <w:kern w:val="2"/>
          <w:sz w:val="32"/>
          <w:szCs w:val="32"/>
          <w:highlight w:val="none"/>
          <w:lang w:val="en-US" w:eastAsia="zh-CN" w:bidi="ar-SA"/>
        </w:rPr>
        <w:t>，确保预算执行到位</w:t>
      </w:r>
      <w:r>
        <w:rPr>
          <w:rFonts w:hint="eastAsia" w:ascii="Times New Roman" w:hAnsi="Times New Roman" w:eastAsia="仿宋_GB2312" w:cs="Times New Roman"/>
          <w:color w:val="000000"/>
          <w:kern w:val="2"/>
          <w:sz w:val="32"/>
          <w:szCs w:val="32"/>
          <w:highlight w:val="none"/>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firstLine="640" w:firstLineChars="200"/>
        <w:textAlignment w:val="auto"/>
        <w:rPr>
          <w:rFonts w:eastAsia="黑体"/>
          <w:sz w:val="32"/>
          <w:szCs w:val="32"/>
          <w:highlight w:val="none"/>
        </w:rPr>
      </w:pPr>
      <w:r>
        <w:rPr>
          <w:rFonts w:eastAsia="黑体"/>
          <w:sz w:val="32"/>
          <w:szCs w:val="32"/>
          <w:highlight w:val="none"/>
        </w:rPr>
        <w:t>绩效自评结果拟应用和公开情况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Calibri" w:hAnsi="Calibri" w:eastAsia="仿宋_GB2312" w:cs="Times New Roman"/>
          <w:color w:val="000000"/>
          <w:kern w:val="2"/>
          <w:sz w:val="32"/>
          <w:szCs w:val="32"/>
          <w:highlight w:val="none"/>
          <w:lang w:val="en-US" w:eastAsia="zh-CN" w:bidi="ar-SA"/>
        </w:rPr>
      </w:pPr>
      <w:r>
        <w:rPr>
          <w:rFonts w:hint="eastAsia"/>
          <w:highlight w:val="none"/>
          <w:lang w:val="en-US" w:eastAsia="zh-CN"/>
        </w:rPr>
        <w:t xml:space="preserve">    </w:t>
      </w:r>
      <w:r>
        <w:rPr>
          <w:rFonts w:hint="eastAsia" w:ascii="Calibri" w:hAnsi="Calibri" w:eastAsia="仿宋_GB2312" w:cs="Times New Roman"/>
          <w:color w:val="000000"/>
          <w:kern w:val="2"/>
          <w:sz w:val="32"/>
          <w:szCs w:val="32"/>
          <w:highlight w:val="none"/>
          <w:lang w:val="en-US" w:eastAsia="zh-CN" w:bidi="ar-SA"/>
        </w:rPr>
        <w:t xml:space="preserve"> 将绩效自评结果作为下一年度预算编制工作的重要参考，并按要求进行公开。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eastAsia="黑体"/>
          <w:sz w:val="32"/>
          <w:szCs w:val="32"/>
          <w:highlight w:val="none"/>
        </w:rPr>
      </w:pPr>
      <w:r>
        <w:rPr>
          <w:rFonts w:hint="eastAsia" w:eastAsia="黑体"/>
          <w:sz w:val="32"/>
          <w:szCs w:val="32"/>
          <w:highlight w:val="none"/>
        </w:rPr>
        <w:t>十二、</w:t>
      </w:r>
      <w:r>
        <w:rPr>
          <w:rFonts w:eastAsia="黑体"/>
          <w:sz w:val="32"/>
          <w:szCs w:val="32"/>
          <w:highlight w:val="none"/>
        </w:rPr>
        <w:t>其他需要说明的情况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rPr>
        <w:t>无。</w:t>
      </w:r>
    </w:p>
    <w:p>
      <w:pPr>
        <w:keepNext w:val="0"/>
        <w:keepLines w:val="0"/>
        <w:pageBreakBefore w:val="0"/>
        <w:kinsoku/>
        <w:wordWrap/>
        <w:overflowPunct/>
        <w:topLinePunct w:val="0"/>
        <w:bidi w:val="0"/>
        <w:spacing w:beforeAutospacing="0" w:afterAutospacing="0" w:line="600" w:lineRule="exact"/>
        <w:ind w:firstLine="640" w:firstLineChars="200"/>
        <w:jc w:val="center"/>
        <w:textAlignment w:val="auto"/>
        <w:rPr>
          <w:rFonts w:hint="eastAsia" w:eastAsia="仿宋_GB2312"/>
          <w:color w:val="000000"/>
          <w:sz w:val="32"/>
          <w:szCs w:val="32"/>
          <w:highlight w:val="none"/>
          <w:lang w:eastAsia="zh-CN"/>
        </w:rPr>
      </w:pPr>
      <w:bookmarkStart w:id="0" w:name="_GoBack"/>
      <w:bookmarkEnd w:id="0"/>
    </w:p>
    <w:p>
      <w:pPr>
        <w:keepNext w:val="0"/>
        <w:keepLines w:val="0"/>
        <w:pageBreakBefore w:val="0"/>
        <w:kinsoku/>
        <w:wordWrap/>
        <w:overflowPunct/>
        <w:topLinePunct w:val="0"/>
        <w:bidi w:val="0"/>
        <w:spacing w:beforeAutospacing="0" w:afterAutospacing="0" w:line="600" w:lineRule="exact"/>
        <w:ind w:firstLine="640" w:firstLineChars="200"/>
        <w:jc w:val="center"/>
        <w:textAlignment w:val="auto"/>
        <w:rPr>
          <w:rFonts w:hint="eastAsia" w:eastAsia="仿宋_GB2312"/>
          <w:color w:val="000000"/>
          <w:sz w:val="32"/>
          <w:szCs w:val="32"/>
          <w:highlight w:val="none"/>
          <w:lang w:eastAsia="zh-CN"/>
        </w:rPr>
      </w:pPr>
      <w:r>
        <w:rPr>
          <w:rFonts w:hint="eastAsia" w:eastAsia="仿宋_GB2312"/>
          <w:color w:val="000000"/>
          <w:sz w:val="32"/>
          <w:szCs w:val="32"/>
          <w:highlight w:val="none"/>
          <w:lang w:val="en-US" w:eastAsia="zh-CN"/>
        </w:rPr>
        <w:t xml:space="preserve">              </w:t>
      </w:r>
      <w:r>
        <w:rPr>
          <w:rFonts w:hint="eastAsia" w:eastAsia="仿宋_GB2312"/>
          <w:color w:val="000000"/>
          <w:sz w:val="32"/>
          <w:szCs w:val="32"/>
          <w:highlight w:val="none"/>
          <w:lang w:eastAsia="zh-CN"/>
        </w:rPr>
        <w:t>长沙市城市房屋征收和补偿管理办公室</w:t>
      </w:r>
    </w:p>
    <w:p>
      <w:pPr>
        <w:keepNext w:val="0"/>
        <w:keepLines w:val="0"/>
        <w:pageBreakBefore w:val="0"/>
        <w:kinsoku/>
        <w:wordWrap/>
        <w:overflowPunct/>
        <w:topLinePunct w:val="0"/>
        <w:bidi w:val="0"/>
        <w:spacing w:beforeAutospacing="0" w:afterAutospacing="0" w:line="600" w:lineRule="exact"/>
        <w:ind w:firstLine="640" w:firstLineChars="200"/>
        <w:jc w:val="center"/>
        <w:textAlignment w:val="auto"/>
        <w:rPr>
          <w:rFonts w:hint="default" w:eastAsia="仿宋_GB2312"/>
          <w:color w:val="000000"/>
          <w:sz w:val="32"/>
          <w:szCs w:val="32"/>
          <w:highlight w:val="none"/>
          <w:lang w:val="en-US" w:eastAsia="zh-CN"/>
        </w:rPr>
      </w:pPr>
      <w:r>
        <w:rPr>
          <w:rFonts w:hint="eastAsia" w:eastAsia="仿宋_GB2312"/>
          <w:color w:val="000000"/>
          <w:sz w:val="32"/>
          <w:szCs w:val="32"/>
          <w:highlight w:val="none"/>
          <w:lang w:val="en-US" w:eastAsia="zh-CN"/>
        </w:rPr>
        <w:t xml:space="preserve">               2023年3月31日</w:t>
      </w:r>
    </w:p>
    <w:sectPr>
      <w:footerReference r:id="rId4" w:type="default"/>
      <w:pgSz w:w="11906" w:h="16838"/>
      <w:pgMar w:top="1440" w:right="1757" w:bottom="1440" w:left="175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9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8036D"/>
    <w:multiLevelType w:val="singleLevel"/>
    <w:tmpl w:val="C648036D"/>
    <w:lvl w:ilvl="0" w:tentative="0">
      <w:start w:val="1"/>
      <w:numFmt w:val="chineseCounting"/>
      <w:suff w:val="nothing"/>
      <w:lvlText w:val="（%1）"/>
      <w:lvlJc w:val="left"/>
      <w:rPr>
        <w:rFonts w:hint="eastAsia"/>
      </w:rPr>
    </w:lvl>
  </w:abstractNum>
  <w:abstractNum w:abstractNumId="1">
    <w:nsid w:val="CD7C22EB"/>
    <w:multiLevelType w:val="singleLevel"/>
    <w:tmpl w:val="CD7C22EB"/>
    <w:lvl w:ilvl="0" w:tentative="0">
      <w:start w:val="11"/>
      <w:numFmt w:val="chineseCounting"/>
      <w:suff w:val="nothing"/>
      <w:lvlText w:val="%1、"/>
      <w:lvlJc w:val="left"/>
      <w:rPr>
        <w:rFonts w:hint="eastAsia"/>
      </w:rPr>
    </w:lvl>
  </w:abstractNum>
  <w:abstractNum w:abstractNumId="2">
    <w:nsid w:val="0417B9BA"/>
    <w:multiLevelType w:val="singleLevel"/>
    <w:tmpl w:val="0417B9BA"/>
    <w:lvl w:ilvl="0" w:tentative="0">
      <w:start w:val="1"/>
      <w:numFmt w:val="chineseCounting"/>
      <w:suff w:val="nothing"/>
      <w:lvlText w:val="%1、"/>
      <w:lvlJc w:val="left"/>
      <w:pPr>
        <w:ind w:left="1280"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Y3NjliZjJiOTRlMzZkYmZhMDU4YzVmYjcyMDAyZjAifQ=="/>
  </w:docVars>
  <w:rsids>
    <w:rsidRoot w:val="7CB946AE"/>
    <w:rsid w:val="001E5CEF"/>
    <w:rsid w:val="00201166"/>
    <w:rsid w:val="003F69B7"/>
    <w:rsid w:val="006E5E85"/>
    <w:rsid w:val="009711FA"/>
    <w:rsid w:val="010B03C5"/>
    <w:rsid w:val="014B2A31"/>
    <w:rsid w:val="02137257"/>
    <w:rsid w:val="02500836"/>
    <w:rsid w:val="02943E65"/>
    <w:rsid w:val="02B67343"/>
    <w:rsid w:val="03195580"/>
    <w:rsid w:val="032C54F1"/>
    <w:rsid w:val="03955BB9"/>
    <w:rsid w:val="03C3411A"/>
    <w:rsid w:val="0482714E"/>
    <w:rsid w:val="04974A53"/>
    <w:rsid w:val="04DC1B48"/>
    <w:rsid w:val="051D34ED"/>
    <w:rsid w:val="05650C7D"/>
    <w:rsid w:val="05694954"/>
    <w:rsid w:val="05804779"/>
    <w:rsid w:val="05946B75"/>
    <w:rsid w:val="05EA700F"/>
    <w:rsid w:val="060F491D"/>
    <w:rsid w:val="06C41C35"/>
    <w:rsid w:val="07177703"/>
    <w:rsid w:val="07712AB8"/>
    <w:rsid w:val="07BE052D"/>
    <w:rsid w:val="07E074AF"/>
    <w:rsid w:val="07EB7B17"/>
    <w:rsid w:val="07F2653E"/>
    <w:rsid w:val="09375D0D"/>
    <w:rsid w:val="096F7C58"/>
    <w:rsid w:val="099728B7"/>
    <w:rsid w:val="0A5A487A"/>
    <w:rsid w:val="0AB8181B"/>
    <w:rsid w:val="0ADF632D"/>
    <w:rsid w:val="0B475057"/>
    <w:rsid w:val="0B613EF9"/>
    <w:rsid w:val="0BA51A7D"/>
    <w:rsid w:val="0BED38BF"/>
    <w:rsid w:val="0BFB25C7"/>
    <w:rsid w:val="0BFB41A9"/>
    <w:rsid w:val="0C0E2A34"/>
    <w:rsid w:val="0C5A6BB3"/>
    <w:rsid w:val="0C8C02DF"/>
    <w:rsid w:val="0CA01504"/>
    <w:rsid w:val="0CA10EFD"/>
    <w:rsid w:val="0CAF683B"/>
    <w:rsid w:val="0D3B5737"/>
    <w:rsid w:val="0E1D3523"/>
    <w:rsid w:val="0E4C42EB"/>
    <w:rsid w:val="0E7372A6"/>
    <w:rsid w:val="0E8A14AD"/>
    <w:rsid w:val="0E8E3233"/>
    <w:rsid w:val="0EE31E26"/>
    <w:rsid w:val="0EFB40BA"/>
    <w:rsid w:val="0F2F5900"/>
    <w:rsid w:val="0F417E06"/>
    <w:rsid w:val="0F4D0876"/>
    <w:rsid w:val="0F821B5B"/>
    <w:rsid w:val="0F99542E"/>
    <w:rsid w:val="0FC81471"/>
    <w:rsid w:val="0FFE1433"/>
    <w:rsid w:val="100268FB"/>
    <w:rsid w:val="10482153"/>
    <w:rsid w:val="106D6DCD"/>
    <w:rsid w:val="10A3692C"/>
    <w:rsid w:val="116D4B8C"/>
    <w:rsid w:val="11715C6E"/>
    <w:rsid w:val="11A063F8"/>
    <w:rsid w:val="11AC08D8"/>
    <w:rsid w:val="11B774C3"/>
    <w:rsid w:val="1218451B"/>
    <w:rsid w:val="129E493C"/>
    <w:rsid w:val="13713474"/>
    <w:rsid w:val="137C7F9E"/>
    <w:rsid w:val="13934E23"/>
    <w:rsid w:val="13A13542"/>
    <w:rsid w:val="13B213C2"/>
    <w:rsid w:val="13BC0014"/>
    <w:rsid w:val="13BD2F0F"/>
    <w:rsid w:val="13FC02C6"/>
    <w:rsid w:val="14095BC8"/>
    <w:rsid w:val="14183D13"/>
    <w:rsid w:val="147360AE"/>
    <w:rsid w:val="147E529C"/>
    <w:rsid w:val="148B4976"/>
    <w:rsid w:val="14A50ADF"/>
    <w:rsid w:val="14E42F0D"/>
    <w:rsid w:val="15096F58"/>
    <w:rsid w:val="151217F8"/>
    <w:rsid w:val="151878D5"/>
    <w:rsid w:val="15CB39E2"/>
    <w:rsid w:val="15DA7FE2"/>
    <w:rsid w:val="15FB491F"/>
    <w:rsid w:val="16180E4C"/>
    <w:rsid w:val="161B1C86"/>
    <w:rsid w:val="1666237D"/>
    <w:rsid w:val="16F85B37"/>
    <w:rsid w:val="17193853"/>
    <w:rsid w:val="17221929"/>
    <w:rsid w:val="175407CD"/>
    <w:rsid w:val="17657544"/>
    <w:rsid w:val="177A5B8B"/>
    <w:rsid w:val="17915DF2"/>
    <w:rsid w:val="179B5F92"/>
    <w:rsid w:val="181D3E32"/>
    <w:rsid w:val="183E20D2"/>
    <w:rsid w:val="18515581"/>
    <w:rsid w:val="18636500"/>
    <w:rsid w:val="18EE6FF8"/>
    <w:rsid w:val="195F0AAC"/>
    <w:rsid w:val="197B237E"/>
    <w:rsid w:val="19D34248"/>
    <w:rsid w:val="1A1A5733"/>
    <w:rsid w:val="1A356282"/>
    <w:rsid w:val="1A5D1C3B"/>
    <w:rsid w:val="1A7F6CED"/>
    <w:rsid w:val="1ADA4086"/>
    <w:rsid w:val="1ADB3FFD"/>
    <w:rsid w:val="1AF9392E"/>
    <w:rsid w:val="1B0C099C"/>
    <w:rsid w:val="1B187C55"/>
    <w:rsid w:val="1B44682A"/>
    <w:rsid w:val="1B837EAE"/>
    <w:rsid w:val="1BAE6528"/>
    <w:rsid w:val="1BCF1C10"/>
    <w:rsid w:val="1BCF1C71"/>
    <w:rsid w:val="1C034206"/>
    <w:rsid w:val="1C0403C6"/>
    <w:rsid w:val="1C5059B3"/>
    <w:rsid w:val="1CAC06E2"/>
    <w:rsid w:val="1D345988"/>
    <w:rsid w:val="1D3A3C18"/>
    <w:rsid w:val="1D5828A4"/>
    <w:rsid w:val="1D7012D4"/>
    <w:rsid w:val="1D806487"/>
    <w:rsid w:val="1E016C34"/>
    <w:rsid w:val="1E166C83"/>
    <w:rsid w:val="1E196453"/>
    <w:rsid w:val="1E616834"/>
    <w:rsid w:val="1E7F2F8D"/>
    <w:rsid w:val="1E8C5C67"/>
    <w:rsid w:val="1E9937EA"/>
    <w:rsid w:val="1EA93675"/>
    <w:rsid w:val="1F031432"/>
    <w:rsid w:val="1F245887"/>
    <w:rsid w:val="1F91347A"/>
    <w:rsid w:val="1FEA7741"/>
    <w:rsid w:val="200F6E2D"/>
    <w:rsid w:val="201D00B7"/>
    <w:rsid w:val="20311DF7"/>
    <w:rsid w:val="2047034D"/>
    <w:rsid w:val="20C4423D"/>
    <w:rsid w:val="20C84625"/>
    <w:rsid w:val="20F250BA"/>
    <w:rsid w:val="21C427BA"/>
    <w:rsid w:val="223D0F5D"/>
    <w:rsid w:val="22B7172C"/>
    <w:rsid w:val="22C75D49"/>
    <w:rsid w:val="22E40441"/>
    <w:rsid w:val="23380AF4"/>
    <w:rsid w:val="23A30327"/>
    <w:rsid w:val="23B6066D"/>
    <w:rsid w:val="24485F7C"/>
    <w:rsid w:val="24580ADD"/>
    <w:rsid w:val="246E3505"/>
    <w:rsid w:val="24700820"/>
    <w:rsid w:val="24977446"/>
    <w:rsid w:val="24FE3EAE"/>
    <w:rsid w:val="251B3A30"/>
    <w:rsid w:val="2545274A"/>
    <w:rsid w:val="25E52B0A"/>
    <w:rsid w:val="262F34C6"/>
    <w:rsid w:val="264C5C4A"/>
    <w:rsid w:val="26615276"/>
    <w:rsid w:val="26A14464"/>
    <w:rsid w:val="26D964E0"/>
    <w:rsid w:val="279307A8"/>
    <w:rsid w:val="27A75E85"/>
    <w:rsid w:val="27A83B5B"/>
    <w:rsid w:val="27FD66D2"/>
    <w:rsid w:val="28BD48B1"/>
    <w:rsid w:val="28E1054D"/>
    <w:rsid w:val="28E5522C"/>
    <w:rsid w:val="28F525CF"/>
    <w:rsid w:val="28FA46D8"/>
    <w:rsid w:val="2937791B"/>
    <w:rsid w:val="295837E6"/>
    <w:rsid w:val="29796F31"/>
    <w:rsid w:val="29C04964"/>
    <w:rsid w:val="2A14039B"/>
    <w:rsid w:val="2A324944"/>
    <w:rsid w:val="2A432BBA"/>
    <w:rsid w:val="2AB929AD"/>
    <w:rsid w:val="2AF33A7D"/>
    <w:rsid w:val="2AF67A40"/>
    <w:rsid w:val="2B4F7483"/>
    <w:rsid w:val="2B5C510D"/>
    <w:rsid w:val="2B610984"/>
    <w:rsid w:val="2BD17DE4"/>
    <w:rsid w:val="2BDF65DB"/>
    <w:rsid w:val="2BE44C25"/>
    <w:rsid w:val="2BF448C0"/>
    <w:rsid w:val="2C051394"/>
    <w:rsid w:val="2C3B3DF5"/>
    <w:rsid w:val="2C57790A"/>
    <w:rsid w:val="2D1F5872"/>
    <w:rsid w:val="2DA663FD"/>
    <w:rsid w:val="2E4270DE"/>
    <w:rsid w:val="2E5D688F"/>
    <w:rsid w:val="2E691B97"/>
    <w:rsid w:val="2E8634CA"/>
    <w:rsid w:val="30096C25"/>
    <w:rsid w:val="30484702"/>
    <w:rsid w:val="309E68AA"/>
    <w:rsid w:val="319A3500"/>
    <w:rsid w:val="31BD0D38"/>
    <w:rsid w:val="31CA4AC3"/>
    <w:rsid w:val="32022E2D"/>
    <w:rsid w:val="326B6A9C"/>
    <w:rsid w:val="32861541"/>
    <w:rsid w:val="329A1775"/>
    <w:rsid w:val="337066EC"/>
    <w:rsid w:val="3392277E"/>
    <w:rsid w:val="33D0365A"/>
    <w:rsid w:val="33F42966"/>
    <w:rsid w:val="33F81C52"/>
    <w:rsid w:val="341014E3"/>
    <w:rsid w:val="34351371"/>
    <w:rsid w:val="34AB3ABA"/>
    <w:rsid w:val="34AC6074"/>
    <w:rsid w:val="34D7055F"/>
    <w:rsid w:val="35216579"/>
    <w:rsid w:val="35BD06A2"/>
    <w:rsid w:val="35E17E0B"/>
    <w:rsid w:val="35E712BF"/>
    <w:rsid w:val="363B20ED"/>
    <w:rsid w:val="36404AD3"/>
    <w:rsid w:val="36CA0924"/>
    <w:rsid w:val="36EB708A"/>
    <w:rsid w:val="371506D2"/>
    <w:rsid w:val="374A6E28"/>
    <w:rsid w:val="37507ADE"/>
    <w:rsid w:val="37515C15"/>
    <w:rsid w:val="376170D4"/>
    <w:rsid w:val="3786384D"/>
    <w:rsid w:val="37E068A7"/>
    <w:rsid w:val="381940E8"/>
    <w:rsid w:val="38A30666"/>
    <w:rsid w:val="38A94026"/>
    <w:rsid w:val="38B6444F"/>
    <w:rsid w:val="38EA13A9"/>
    <w:rsid w:val="38EF6463"/>
    <w:rsid w:val="38F90429"/>
    <w:rsid w:val="39456A2A"/>
    <w:rsid w:val="397A05C2"/>
    <w:rsid w:val="39A02367"/>
    <w:rsid w:val="3A79064F"/>
    <w:rsid w:val="3B967965"/>
    <w:rsid w:val="3B9D25DA"/>
    <w:rsid w:val="3C0E4032"/>
    <w:rsid w:val="3C2E09DB"/>
    <w:rsid w:val="3C5C3381"/>
    <w:rsid w:val="3CB7386F"/>
    <w:rsid w:val="3CDD459F"/>
    <w:rsid w:val="3D3B1398"/>
    <w:rsid w:val="3DDD22AD"/>
    <w:rsid w:val="3E32766B"/>
    <w:rsid w:val="3EE60D61"/>
    <w:rsid w:val="3F017844"/>
    <w:rsid w:val="3F393305"/>
    <w:rsid w:val="3F4E41E9"/>
    <w:rsid w:val="3F7E3046"/>
    <w:rsid w:val="3FCE0E96"/>
    <w:rsid w:val="3FEB4C5F"/>
    <w:rsid w:val="401B7223"/>
    <w:rsid w:val="401C008C"/>
    <w:rsid w:val="40201FC0"/>
    <w:rsid w:val="40431122"/>
    <w:rsid w:val="415767F5"/>
    <w:rsid w:val="41A84C33"/>
    <w:rsid w:val="41AD2A10"/>
    <w:rsid w:val="41D12381"/>
    <w:rsid w:val="42533266"/>
    <w:rsid w:val="42691CCC"/>
    <w:rsid w:val="42D63338"/>
    <w:rsid w:val="43127EB5"/>
    <w:rsid w:val="434148C9"/>
    <w:rsid w:val="43C90AC8"/>
    <w:rsid w:val="44004EDE"/>
    <w:rsid w:val="442160D1"/>
    <w:rsid w:val="44476239"/>
    <w:rsid w:val="446A6097"/>
    <w:rsid w:val="44746C67"/>
    <w:rsid w:val="44B604E5"/>
    <w:rsid w:val="44BD2E8B"/>
    <w:rsid w:val="44E36D62"/>
    <w:rsid w:val="44F553B3"/>
    <w:rsid w:val="45213FED"/>
    <w:rsid w:val="4532127D"/>
    <w:rsid w:val="459F2029"/>
    <w:rsid w:val="45A42829"/>
    <w:rsid w:val="45CB03FD"/>
    <w:rsid w:val="46044E51"/>
    <w:rsid w:val="46703040"/>
    <w:rsid w:val="46D85750"/>
    <w:rsid w:val="470051B4"/>
    <w:rsid w:val="471B30F0"/>
    <w:rsid w:val="474F5A34"/>
    <w:rsid w:val="47DA6F48"/>
    <w:rsid w:val="48212A6E"/>
    <w:rsid w:val="482A0AA9"/>
    <w:rsid w:val="48D03E17"/>
    <w:rsid w:val="49657CE8"/>
    <w:rsid w:val="499D54FF"/>
    <w:rsid w:val="49A113F2"/>
    <w:rsid w:val="49C83A77"/>
    <w:rsid w:val="49E925FA"/>
    <w:rsid w:val="4A2932A7"/>
    <w:rsid w:val="4AA263EE"/>
    <w:rsid w:val="4B421A2B"/>
    <w:rsid w:val="4B5F73AD"/>
    <w:rsid w:val="4BDC12EA"/>
    <w:rsid w:val="4BFB17DE"/>
    <w:rsid w:val="4C1339AE"/>
    <w:rsid w:val="4C236A98"/>
    <w:rsid w:val="4C5329F3"/>
    <w:rsid w:val="4C5A7480"/>
    <w:rsid w:val="4C682CDF"/>
    <w:rsid w:val="4C6C692C"/>
    <w:rsid w:val="4C782856"/>
    <w:rsid w:val="4CED4BF1"/>
    <w:rsid w:val="4CF44BCD"/>
    <w:rsid w:val="4D007B71"/>
    <w:rsid w:val="4DD2331B"/>
    <w:rsid w:val="4ED0665F"/>
    <w:rsid w:val="4EE34313"/>
    <w:rsid w:val="4EF37E97"/>
    <w:rsid w:val="4F9437F9"/>
    <w:rsid w:val="4FDB6439"/>
    <w:rsid w:val="5075640C"/>
    <w:rsid w:val="50F60016"/>
    <w:rsid w:val="510934D7"/>
    <w:rsid w:val="514A7019"/>
    <w:rsid w:val="51A60EE2"/>
    <w:rsid w:val="51D90840"/>
    <w:rsid w:val="520F5C5E"/>
    <w:rsid w:val="523529DA"/>
    <w:rsid w:val="527E5266"/>
    <w:rsid w:val="528E40C3"/>
    <w:rsid w:val="52CE2393"/>
    <w:rsid w:val="52E46711"/>
    <w:rsid w:val="530A0A40"/>
    <w:rsid w:val="530A765D"/>
    <w:rsid w:val="53780A92"/>
    <w:rsid w:val="540E579B"/>
    <w:rsid w:val="541A31AC"/>
    <w:rsid w:val="54361023"/>
    <w:rsid w:val="54713FDB"/>
    <w:rsid w:val="54D024DB"/>
    <w:rsid w:val="55240E58"/>
    <w:rsid w:val="55304F48"/>
    <w:rsid w:val="55510F00"/>
    <w:rsid w:val="55793BCA"/>
    <w:rsid w:val="55A51695"/>
    <w:rsid w:val="56A75CFB"/>
    <w:rsid w:val="56B4074E"/>
    <w:rsid w:val="56DD5ADA"/>
    <w:rsid w:val="570E3D35"/>
    <w:rsid w:val="57345D4C"/>
    <w:rsid w:val="57700F0A"/>
    <w:rsid w:val="57A84127"/>
    <w:rsid w:val="57AF62A6"/>
    <w:rsid w:val="57FC3286"/>
    <w:rsid w:val="5863283D"/>
    <w:rsid w:val="58690F89"/>
    <w:rsid w:val="590C34B8"/>
    <w:rsid w:val="59804F5A"/>
    <w:rsid w:val="59972633"/>
    <w:rsid w:val="59B50B8C"/>
    <w:rsid w:val="59C27BFC"/>
    <w:rsid w:val="5A0C7D99"/>
    <w:rsid w:val="5A101A66"/>
    <w:rsid w:val="5A7A1F12"/>
    <w:rsid w:val="5A7B02F6"/>
    <w:rsid w:val="5AB0292D"/>
    <w:rsid w:val="5B555DE6"/>
    <w:rsid w:val="5B7D376F"/>
    <w:rsid w:val="5B807DD6"/>
    <w:rsid w:val="5BE41C63"/>
    <w:rsid w:val="5C207B51"/>
    <w:rsid w:val="5C441EFE"/>
    <w:rsid w:val="5C4B6571"/>
    <w:rsid w:val="5C904226"/>
    <w:rsid w:val="5CC34AA4"/>
    <w:rsid w:val="5CCF0267"/>
    <w:rsid w:val="5CEC436F"/>
    <w:rsid w:val="5D216A59"/>
    <w:rsid w:val="5D2E43EE"/>
    <w:rsid w:val="5D494462"/>
    <w:rsid w:val="5D5924A5"/>
    <w:rsid w:val="5DC5108E"/>
    <w:rsid w:val="5E0F2055"/>
    <w:rsid w:val="5E360385"/>
    <w:rsid w:val="5E612C5F"/>
    <w:rsid w:val="5EC50AA5"/>
    <w:rsid w:val="5F3D10B0"/>
    <w:rsid w:val="5F7B0E7A"/>
    <w:rsid w:val="5F950C39"/>
    <w:rsid w:val="5F965586"/>
    <w:rsid w:val="60055270"/>
    <w:rsid w:val="60357383"/>
    <w:rsid w:val="6044231C"/>
    <w:rsid w:val="609420C0"/>
    <w:rsid w:val="609C7E43"/>
    <w:rsid w:val="60CF2DE5"/>
    <w:rsid w:val="60ED09CB"/>
    <w:rsid w:val="60F32AB0"/>
    <w:rsid w:val="60F37C00"/>
    <w:rsid w:val="61180283"/>
    <w:rsid w:val="611F59A5"/>
    <w:rsid w:val="618D4C9F"/>
    <w:rsid w:val="61D27A89"/>
    <w:rsid w:val="620C4BD4"/>
    <w:rsid w:val="626671D4"/>
    <w:rsid w:val="629078C7"/>
    <w:rsid w:val="62ED3EB1"/>
    <w:rsid w:val="63186A49"/>
    <w:rsid w:val="632D6470"/>
    <w:rsid w:val="636A6531"/>
    <w:rsid w:val="647B21C9"/>
    <w:rsid w:val="64843DA1"/>
    <w:rsid w:val="648475DB"/>
    <w:rsid w:val="64A770D4"/>
    <w:rsid w:val="64BA7F1E"/>
    <w:rsid w:val="64C67CAE"/>
    <w:rsid w:val="651E090F"/>
    <w:rsid w:val="65375AE0"/>
    <w:rsid w:val="65A22FCC"/>
    <w:rsid w:val="65A97147"/>
    <w:rsid w:val="65CC454A"/>
    <w:rsid w:val="65DA5FF7"/>
    <w:rsid w:val="662004CC"/>
    <w:rsid w:val="66220128"/>
    <w:rsid w:val="663D5171"/>
    <w:rsid w:val="66504282"/>
    <w:rsid w:val="66543519"/>
    <w:rsid w:val="66797A85"/>
    <w:rsid w:val="66F43F6E"/>
    <w:rsid w:val="67051825"/>
    <w:rsid w:val="672437AA"/>
    <w:rsid w:val="67405971"/>
    <w:rsid w:val="678D649D"/>
    <w:rsid w:val="67C86DC0"/>
    <w:rsid w:val="67DE4CAC"/>
    <w:rsid w:val="68643422"/>
    <w:rsid w:val="686B66C5"/>
    <w:rsid w:val="6900727B"/>
    <w:rsid w:val="69757063"/>
    <w:rsid w:val="698D6225"/>
    <w:rsid w:val="69B33DD6"/>
    <w:rsid w:val="69DC7B7F"/>
    <w:rsid w:val="69EB4747"/>
    <w:rsid w:val="6A183954"/>
    <w:rsid w:val="6A1D40C0"/>
    <w:rsid w:val="6A934E4B"/>
    <w:rsid w:val="6A9F4FA0"/>
    <w:rsid w:val="6AD85491"/>
    <w:rsid w:val="6B557543"/>
    <w:rsid w:val="6B8651DD"/>
    <w:rsid w:val="6B8A1E5B"/>
    <w:rsid w:val="6BE84DF7"/>
    <w:rsid w:val="6BF24B6A"/>
    <w:rsid w:val="6C01027A"/>
    <w:rsid w:val="6C2643B1"/>
    <w:rsid w:val="6C650981"/>
    <w:rsid w:val="6C9B7F89"/>
    <w:rsid w:val="6C9D780B"/>
    <w:rsid w:val="6CC21DFA"/>
    <w:rsid w:val="6CC504BF"/>
    <w:rsid w:val="6D74261A"/>
    <w:rsid w:val="6D8E119B"/>
    <w:rsid w:val="6D946FCE"/>
    <w:rsid w:val="6E0D6BEE"/>
    <w:rsid w:val="6E1561F4"/>
    <w:rsid w:val="6EA80F36"/>
    <w:rsid w:val="6EC635C2"/>
    <w:rsid w:val="6ED70F7D"/>
    <w:rsid w:val="6F0B4D76"/>
    <w:rsid w:val="70A44792"/>
    <w:rsid w:val="70E33AE7"/>
    <w:rsid w:val="71221792"/>
    <w:rsid w:val="717C7183"/>
    <w:rsid w:val="718561E7"/>
    <w:rsid w:val="719741D5"/>
    <w:rsid w:val="71B35798"/>
    <w:rsid w:val="71DF4821"/>
    <w:rsid w:val="71E6611F"/>
    <w:rsid w:val="72273EFF"/>
    <w:rsid w:val="72B15E8E"/>
    <w:rsid w:val="72BD3C49"/>
    <w:rsid w:val="73060CB6"/>
    <w:rsid w:val="7317596B"/>
    <w:rsid w:val="73240667"/>
    <w:rsid w:val="7353190C"/>
    <w:rsid w:val="73C5217A"/>
    <w:rsid w:val="741057AA"/>
    <w:rsid w:val="74612277"/>
    <w:rsid w:val="75215288"/>
    <w:rsid w:val="75926DAA"/>
    <w:rsid w:val="75E95391"/>
    <w:rsid w:val="75F44D6D"/>
    <w:rsid w:val="767C66FE"/>
    <w:rsid w:val="76C804CA"/>
    <w:rsid w:val="76D06A3F"/>
    <w:rsid w:val="77504FB6"/>
    <w:rsid w:val="779C7203"/>
    <w:rsid w:val="77F17B54"/>
    <w:rsid w:val="78083DD4"/>
    <w:rsid w:val="781D2F52"/>
    <w:rsid w:val="785B5378"/>
    <w:rsid w:val="78AB0F5B"/>
    <w:rsid w:val="78AF41F5"/>
    <w:rsid w:val="78B66E49"/>
    <w:rsid w:val="78FF5014"/>
    <w:rsid w:val="79195BF8"/>
    <w:rsid w:val="79436BA4"/>
    <w:rsid w:val="79633FA5"/>
    <w:rsid w:val="79B839CB"/>
    <w:rsid w:val="7A4B3361"/>
    <w:rsid w:val="7A511162"/>
    <w:rsid w:val="7AB303AF"/>
    <w:rsid w:val="7AB61BC1"/>
    <w:rsid w:val="7B855579"/>
    <w:rsid w:val="7BC065A0"/>
    <w:rsid w:val="7C124BA7"/>
    <w:rsid w:val="7C637AB8"/>
    <w:rsid w:val="7C8C2CD1"/>
    <w:rsid w:val="7CB946AE"/>
    <w:rsid w:val="7CC855D0"/>
    <w:rsid w:val="7D410F7A"/>
    <w:rsid w:val="7D692E0D"/>
    <w:rsid w:val="7E085253"/>
    <w:rsid w:val="7E991E9B"/>
    <w:rsid w:val="7F2A1A80"/>
    <w:rsid w:val="7F713666"/>
    <w:rsid w:val="7F790DF7"/>
    <w:rsid w:val="7FA35CE7"/>
    <w:rsid w:val="7FA56BE0"/>
    <w:rsid w:val="7FAC55E5"/>
    <w:rsid w:val="7FCF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 w:type="paragraph" w:customStyle="1" w:styleId="10">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6878</Words>
  <Characters>7278</Characters>
  <Lines>9</Lines>
  <Paragraphs>22</Paragraphs>
  <TotalTime>0</TotalTime>
  <ScaleCrop>false</ScaleCrop>
  <LinksUpToDate>false</LinksUpToDate>
  <CharactersWithSpaces>7334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2021-03-05T01:03:00Z</dcterms:created>
  <dc:creator>海蓝时见鲸.</dc:creator>
  <cp:lastModifiedBy>Administrator</cp:lastModifiedBy>
  <cp:lastPrinted>2022-03-17T03:01:00Z</cp:lastPrinted>
  <dcterms:modified xsi:type="dcterms:W3CDTF">2023-04-11T06:04:41Z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2D3516B12A294D8482209D229FF47977</vt:lpwstr>
  </property>
</Properties>
</file>