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spacing w:before="147"/>
        <w:ind w:left="266"/>
        <w:rPr>
          <w:rFonts w:ascii="方正小标宋简体" w:hAnsi="方正小标宋简体"/>
          <w:sz w:val="31"/>
          <w:lang w:eastAsia="zh-CN"/>
        </w:rPr>
      </w:pPr>
      <w:r>
        <w:rPr>
          <w:rFonts w:ascii="Times New Roman" w:hAnsi="Times New Roman"/>
          <w:color w:val="231F20"/>
          <w:sz w:val="31"/>
          <w:lang w:eastAsia="zh-CN"/>
        </w:rPr>
        <w:t>CSCR</w:t>
      </w:r>
      <w:r>
        <w:rPr>
          <w:rFonts w:ascii="方正小标宋简体" w:hAnsi="方正小标宋简体"/>
          <w:color w:val="231F20"/>
          <w:sz w:val="31"/>
          <w:lang w:eastAsia="zh-CN"/>
        </w:rPr>
        <w:t>—2022—01020</w:t>
      </w:r>
    </w:p>
    <w:p>
      <w:pPr>
        <w:pStyle w:val="3"/>
        <w:rPr>
          <w:rFonts w:ascii="方正小标宋简体"/>
          <w:sz w:val="20"/>
          <w:lang w:eastAsia="zh-CN"/>
        </w:rPr>
      </w:pPr>
    </w:p>
    <w:p>
      <w:pPr>
        <w:pStyle w:val="3"/>
        <w:rPr>
          <w:rFonts w:ascii="方正小标宋简体"/>
          <w:sz w:val="20"/>
          <w:lang w:eastAsia="zh-CN"/>
        </w:rPr>
      </w:pPr>
    </w:p>
    <w:p>
      <w:pPr>
        <w:pStyle w:val="3"/>
        <w:rPr>
          <w:rFonts w:ascii="方正小标宋简体"/>
          <w:sz w:val="20"/>
          <w:lang w:eastAsia="zh-CN"/>
        </w:rPr>
      </w:pPr>
    </w:p>
    <w:p>
      <w:pPr>
        <w:pStyle w:val="3"/>
        <w:spacing w:before="3"/>
        <w:rPr>
          <w:rFonts w:ascii="方正小标宋简体"/>
          <w:sz w:val="28"/>
          <w:lang w:eastAsia="zh-CN"/>
        </w:rPr>
      </w:pPr>
    </w:p>
    <w:p>
      <w:pPr>
        <w:spacing w:line="1463" w:lineRule="exact"/>
        <w:ind w:left="733"/>
        <w:rPr>
          <w:rFonts w:ascii="方正大标宋简体" w:eastAsia="方正大标宋简体"/>
          <w:sz w:val="119"/>
          <w:lang w:eastAsia="zh-CN"/>
        </w:rPr>
      </w:pPr>
      <w:r>
        <w:rPr>
          <w:rFonts w:hint="eastAsia" w:ascii="方正大标宋简体" w:eastAsia="方正大标宋简体"/>
          <w:color w:val="ED1C24"/>
          <w:spacing w:val="-57"/>
          <w:w w:val="55"/>
          <w:sz w:val="119"/>
          <w:lang w:eastAsia="zh-CN"/>
        </w:rPr>
        <w:t>长沙市人民政府办公厅文件</w:t>
      </w:r>
      <w:bookmarkStart w:id="0" w:name="_GoBack"/>
      <w:bookmarkEnd w:id="0"/>
    </w:p>
    <w:p>
      <w:pPr>
        <w:pStyle w:val="3"/>
        <w:rPr>
          <w:rFonts w:ascii="方正大标宋简体"/>
          <w:sz w:val="20"/>
          <w:lang w:eastAsia="zh-CN"/>
        </w:rPr>
      </w:pPr>
    </w:p>
    <w:p>
      <w:pPr>
        <w:pStyle w:val="3"/>
        <w:rPr>
          <w:rFonts w:ascii="方正大标宋简体"/>
          <w:sz w:val="20"/>
          <w:lang w:eastAsia="zh-CN"/>
        </w:rPr>
      </w:pPr>
    </w:p>
    <w:p>
      <w:pPr>
        <w:pStyle w:val="3"/>
        <w:spacing w:before="7"/>
        <w:rPr>
          <w:rFonts w:ascii="方正大标宋简体"/>
          <w:sz w:val="15"/>
          <w:lang w:eastAsia="zh-CN"/>
        </w:rPr>
      </w:pPr>
    </w:p>
    <w:p>
      <w:pPr>
        <w:pStyle w:val="3"/>
        <w:spacing w:before="6"/>
        <w:ind w:left="3096"/>
        <w:rPr>
          <w:rFonts w:ascii="方正仿宋简体" w:eastAsia="方正仿宋简体"/>
          <w:lang w:eastAsia="zh-CN"/>
        </w:rPr>
      </w:pPr>
      <w:r>
        <w:rPr>
          <w:rFonts w:hint="eastAsia" w:ascii="方正仿宋简体" w:eastAsia="方正仿宋简体"/>
          <w:color w:val="231F20"/>
          <w:lang w:eastAsia="zh-CN"/>
        </w:rPr>
        <w:t>长政办发 〔</w:t>
      </w:r>
      <w:r>
        <w:rPr>
          <w:rFonts w:ascii="Times New Roman" w:eastAsia="Times New Roman"/>
          <w:color w:val="231F20"/>
          <w:lang w:eastAsia="zh-CN"/>
        </w:rPr>
        <w:t>2022</w:t>
      </w:r>
      <w:r>
        <w:rPr>
          <w:rFonts w:hint="eastAsia" w:ascii="方正仿宋简体" w:eastAsia="方正仿宋简体"/>
          <w:color w:val="231F20"/>
          <w:lang w:eastAsia="zh-CN"/>
        </w:rPr>
        <w:t xml:space="preserve">〕 </w:t>
      </w:r>
      <w:r>
        <w:rPr>
          <w:rFonts w:ascii="Times New Roman" w:eastAsia="Times New Roman"/>
          <w:color w:val="231F20"/>
          <w:lang w:eastAsia="zh-CN"/>
        </w:rPr>
        <w:t xml:space="preserve">22 </w:t>
      </w:r>
      <w:r>
        <w:rPr>
          <w:rFonts w:hint="eastAsia" w:ascii="方正仿宋简体" w:eastAsia="方正仿宋简体"/>
          <w:color w:val="231F20"/>
          <w:lang w:eastAsia="zh-CN"/>
        </w:rPr>
        <w:t>号</w:t>
      </w:r>
    </w:p>
    <w:p>
      <w:pPr>
        <w:pStyle w:val="3"/>
        <w:spacing w:before="1"/>
        <w:rPr>
          <w:rFonts w:ascii="方正仿宋简体"/>
          <w:sz w:val="18"/>
          <w:lang w:eastAsia="zh-CN"/>
        </w:rPr>
      </w:pPr>
      <w:r>
        <w:pict>
          <v:line id="_x0000_s1034" o:spid="_x0000_s1034" o:spt="20" style="position:absolute;left:0pt;margin-left:79.35pt;margin-top:16.7pt;height:0pt;width:436.55pt;mso-position-horizontal-relative:page;mso-wrap-distance-bottom:0pt;mso-wrap-distance-top:0pt;z-index:251660288;mso-width-relative:page;mso-height-relative:page;" stroked="t" coordsize="21600,21600">
            <v:path arrowok="t"/>
            <v:fill focussize="0,0"/>
            <v:stroke weight="2.83456692913386pt" color="#ED1C24"/>
            <v:imagedata o:title=""/>
            <o:lock v:ext="edit"/>
            <w10:wrap type="topAndBottom"/>
          </v:line>
        </w:pict>
      </w:r>
    </w:p>
    <w:p>
      <w:pPr>
        <w:pStyle w:val="3"/>
        <w:rPr>
          <w:rFonts w:ascii="方正仿宋简体"/>
          <w:sz w:val="20"/>
          <w:lang w:eastAsia="zh-CN"/>
        </w:rPr>
      </w:pPr>
    </w:p>
    <w:p>
      <w:pPr>
        <w:pStyle w:val="3"/>
        <w:spacing w:before="14"/>
        <w:rPr>
          <w:rFonts w:ascii="方正仿宋简体"/>
          <w:sz w:val="27"/>
          <w:lang w:eastAsia="zh-CN"/>
        </w:rPr>
      </w:pPr>
    </w:p>
    <w:p>
      <w:pPr>
        <w:pStyle w:val="2"/>
        <w:ind w:left="1182"/>
        <w:rPr>
          <w:lang w:eastAsia="zh-CN"/>
        </w:rPr>
      </w:pPr>
      <w:r>
        <w:rPr>
          <w:color w:val="231F20"/>
          <w:lang w:eastAsia="zh-CN"/>
        </w:rPr>
        <w:t>长沙市人民政府办公厅</w:t>
      </w:r>
    </w:p>
    <w:p>
      <w:pPr>
        <w:spacing w:before="66" w:line="264" w:lineRule="auto"/>
        <w:ind w:left="1184" w:right="1182"/>
        <w:jc w:val="center"/>
        <w:rPr>
          <w:rFonts w:ascii="方正小标宋简体" w:eastAsia="方正小标宋简体"/>
          <w:sz w:val="41"/>
          <w:lang w:eastAsia="zh-CN"/>
        </w:rPr>
      </w:pPr>
      <w:r>
        <w:rPr>
          <w:rFonts w:hint="eastAsia" w:ascii="方正小标宋简体" w:eastAsia="方正小标宋简体"/>
          <w:color w:val="231F20"/>
          <w:sz w:val="41"/>
          <w:lang w:eastAsia="zh-CN"/>
        </w:rPr>
        <w:t>印发 《关于进一步纾解市场主体困难稳定经济运行的若干政策》 的通知</w:t>
      </w:r>
    </w:p>
    <w:p>
      <w:pPr>
        <w:pStyle w:val="3"/>
        <w:rPr>
          <w:rFonts w:ascii="方正小标宋简体"/>
          <w:sz w:val="51"/>
          <w:lang w:eastAsia="zh-CN"/>
        </w:rPr>
      </w:pPr>
    </w:p>
    <w:p>
      <w:pPr>
        <w:pStyle w:val="3"/>
        <w:ind w:left="113"/>
        <w:rPr>
          <w:rFonts w:ascii="方正楷体_GBK" w:eastAsia="方正楷体_GBK"/>
          <w:lang w:eastAsia="zh-CN"/>
        </w:rPr>
      </w:pPr>
      <w:r>
        <w:rPr>
          <w:rFonts w:hint="eastAsia" w:ascii="方正楷体_GBK" w:eastAsia="方正楷体_GBK"/>
          <w:color w:val="231F20"/>
          <w:lang w:eastAsia="zh-CN"/>
        </w:rPr>
        <w:t>各区县 （市） 人民政府，市直机关各单位：</w:t>
      </w:r>
    </w:p>
    <w:p>
      <w:pPr>
        <w:pStyle w:val="3"/>
        <w:spacing w:before="175" w:line="343" w:lineRule="auto"/>
        <w:ind w:left="113" w:firstLine="507"/>
        <w:rPr>
          <w:rFonts w:ascii="方正楷体_GBK" w:eastAsia="方正楷体_GBK"/>
          <w:lang w:eastAsia="zh-CN"/>
        </w:rPr>
      </w:pPr>
      <w:r>
        <w:rPr>
          <w:rFonts w:hint="eastAsia" w:ascii="方正楷体_GBK" w:eastAsia="方正楷体_GBK"/>
          <w:color w:val="231F20"/>
          <w:lang w:eastAsia="zh-CN"/>
        </w:rPr>
        <w:t>《关于进一步纾解市场主体困难稳定经济运行的若干政策》 已经市人民政府同意，现印发给你们，请认真遵照执行。</w:t>
      </w:r>
    </w:p>
    <w:p>
      <w:pPr>
        <w:pStyle w:val="3"/>
        <w:rPr>
          <w:rFonts w:ascii="方正楷体_GBK"/>
          <w:sz w:val="20"/>
          <w:lang w:eastAsia="zh-CN"/>
        </w:rPr>
      </w:pPr>
    </w:p>
    <w:p>
      <w:pPr>
        <w:pStyle w:val="3"/>
        <w:rPr>
          <w:rFonts w:ascii="方正楷体_GBK"/>
          <w:sz w:val="20"/>
          <w:lang w:eastAsia="zh-CN"/>
        </w:rPr>
      </w:pPr>
    </w:p>
    <w:p>
      <w:pPr>
        <w:pStyle w:val="3"/>
        <w:rPr>
          <w:rFonts w:ascii="方正楷体_GBK"/>
          <w:sz w:val="20"/>
          <w:lang w:eastAsia="zh-CN"/>
        </w:rPr>
      </w:pPr>
    </w:p>
    <w:p>
      <w:pPr>
        <w:pStyle w:val="3"/>
        <w:rPr>
          <w:rFonts w:ascii="方正楷体_GBK"/>
          <w:sz w:val="20"/>
          <w:lang w:eastAsia="zh-CN"/>
        </w:rPr>
      </w:pPr>
    </w:p>
    <w:p>
      <w:pPr>
        <w:ind w:left="65" w:right="1273"/>
        <w:jc w:val="right"/>
        <w:rPr>
          <w:rFonts w:ascii="方正楷体_GBK" w:eastAsia="方正楷体_GBK"/>
          <w:sz w:val="29"/>
          <w:lang w:eastAsia="zh-CN"/>
        </w:rPr>
      </w:pPr>
      <w:r>
        <w:rPr>
          <w:rFonts w:hint="eastAsia" w:ascii="方正楷体_GBK" w:eastAsia="方正楷体_GBK"/>
          <w:color w:val="231F20"/>
          <w:sz w:val="29"/>
          <w:lang w:eastAsia="zh-CN"/>
        </w:rPr>
        <w:t>长沙市人民政府办公厅</w:t>
      </w:r>
    </w:p>
    <w:p>
      <w:pPr>
        <w:spacing w:before="175"/>
        <w:ind w:left="64" w:right="1699"/>
        <w:jc w:val="right"/>
        <w:rPr>
          <w:rFonts w:ascii="方正楷体_GBK" w:eastAsia="方正楷体_GBK"/>
          <w:sz w:val="29"/>
          <w:lang w:eastAsia="zh-CN"/>
        </w:rPr>
      </w:pPr>
      <w:r>
        <w:rPr>
          <w:rFonts w:ascii="Times New Roman" w:eastAsia="Times New Roman"/>
          <w:color w:val="231F20"/>
          <w:sz w:val="29"/>
          <w:lang w:eastAsia="zh-CN"/>
        </w:rPr>
        <w:t xml:space="preserve">2022 </w:t>
      </w:r>
      <w:r>
        <w:rPr>
          <w:rFonts w:hint="eastAsia" w:ascii="方正楷体_GBK" w:eastAsia="方正楷体_GBK"/>
          <w:color w:val="231F20"/>
          <w:spacing w:val="50"/>
          <w:sz w:val="29"/>
          <w:lang w:eastAsia="zh-CN"/>
        </w:rPr>
        <w:t>年</w:t>
      </w:r>
      <w:r>
        <w:rPr>
          <w:rFonts w:ascii="Times New Roman" w:eastAsia="Times New Roman"/>
          <w:color w:val="231F20"/>
          <w:sz w:val="29"/>
          <w:lang w:eastAsia="zh-CN"/>
        </w:rPr>
        <w:t xml:space="preserve">4 </w:t>
      </w:r>
      <w:r>
        <w:rPr>
          <w:rFonts w:hint="eastAsia" w:ascii="方正楷体_GBK" w:eastAsia="方正楷体_GBK"/>
          <w:color w:val="231F20"/>
          <w:spacing w:val="50"/>
          <w:sz w:val="29"/>
          <w:lang w:eastAsia="zh-CN"/>
        </w:rPr>
        <w:t>月</w:t>
      </w:r>
      <w:r>
        <w:rPr>
          <w:rFonts w:ascii="Times New Roman" w:eastAsia="Times New Roman"/>
          <w:color w:val="231F20"/>
          <w:sz w:val="29"/>
          <w:lang w:eastAsia="zh-CN"/>
        </w:rPr>
        <w:t xml:space="preserve">18 </w:t>
      </w:r>
      <w:r>
        <w:rPr>
          <w:rFonts w:hint="eastAsia" w:ascii="方正楷体_GBK" w:eastAsia="方正楷体_GBK"/>
          <w:color w:val="231F20"/>
          <w:sz w:val="29"/>
          <w:lang w:eastAsia="zh-CN"/>
        </w:rPr>
        <w:t>日</w:t>
      </w:r>
    </w:p>
    <w:p>
      <w:pPr>
        <w:pStyle w:val="3"/>
        <w:spacing w:before="9"/>
        <w:rPr>
          <w:rFonts w:ascii="方正楷体_GBK"/>
          <w:sz w:val="20"/>
          <w:lang w:eastAsia="zh-CN"/>
        </w:rPr>
      </w:pPr>
    </w:p>
    <w:p>
      <w:pPr>
        <w:pStyle w:val="3"/>
        <w:spacing w:before="6"/>
        <w:ind w:left="628"/>
        <w:rPr>
          <w:rFonts w:ascii="方正楷体_GBK" w:eastAsia="方正楷体_GBK"/>
          <w:lang w:eastAsia="zh-CN"/>
        </w:rPr>
      </w:pPr>
      <w:r>
        <w:rPr>
          <w:rFonts w:hint="eastAsia" w:ascii="方正楷体_GBK" w:eastAsia="方正楷体_GBK"/>
          <w:color w:val="231F20"/>
          <w:lang w:eastAsia="zh-CN"/>
        </w:rPr>
        <w:t>（此件主动公开）</w:t>
      </w:r>
    </w:p>
    <w:p>
      <w:pPr>
        <w:rPr>
          <w:rFonts w:ascii="方正楷体_GBK" w:eastAsia="方正楷体_GBK"/>
          <w:lang w:eastAsia="zh-CN"/>
        </w:rPr>
        <w:sectPr>
          <w:footerReference r:id="rId3" w:type="default"/>
          <w:footerReference r:id="rId4" w:type="even"/>
          <w:type w:val="continuous"/>
          <w:pgSz w:w="11910" w:h="16840"/>
          <w:pgMar w:top="1580" w:right="1420" w:bottom="1540" w:left="1420" w:header="720" w:footer="1472" w:gutter="0"/>
          <w:cols w:space="720" w:num="1"/>
        </w:sectPr>
      </w:pPr>
    </w:p>
    <w:p>
      <w:pPr>
        <w:pStyle w:val="3"/>
        <w:rPr>
          <w:rFonts w:ascii="方正楷体_GBK"/>
          <w:sz w:val="20"/>
          <w:lang w:eastAsia="zh-CN"/>
        </w:rPr>
      </w:pPr>
    </w:p>
    <w:p>
      <w:pPr>
        <w:pStyle w:val="3"/>
        <w:rPr>
          <w:rFonts w:ascii="方正楷体_GBK"/>
          <w:sz w:val="20"/>
          <w:lang w:eastAsia="zh-CN"/>
        </w:rPr>
      </w:pPr>
    </w:p>
    <w:p>
      <w:pPr>
        <w:pStyle w:val="3"/>
        <w:rPr>
          <w:rFonts w:ascii="方正楷体_GBK"/>
          <w:sz w:val="20"/>
          <w:lang w:eastAsia="zh-CN"/>
        </w:rPr>
      </w:pPr>
    </w:p>
    <w:p>
      <w:pPr>
        <w:pStyle w:val="3"/>
        <w:spacing w:before="1"/>
        <w:rPr>
          <w:rFonts w:ascii="方正楷体_GBK"/>
          <w:sz w:val="17"/>
          <w:lang w:eastAsia="zh-CN"/>
        </w:rPr>
      </w:pPr>
    </w:p>
    <w:p>
      <w:pPr>
        <w:pStyle w:val="2"/>
        <w:ind w:left="0" w:leftChars="0" w:right="90" w:rightChars="0" w:firstLine="0" w:firstLineChars="0"/>
        <w:jc w:val="center"/>
        <w:rPr>
          <w:lang w:eastAsia="zh-CN"/>
        </w:rPr>
      </w:pPr>
      <w:r>
        <w:rPr>
          <w:color w:val="231F20"/>
          <w:lang w:eastAsia="zh-CN"/>
        </w:rPr>
        <w:t>关于进一步纾解市场主体困难</w:t>
      </w:r>
    </w:p>
    <w:p>
      <w:pPr>
        <w:spacing w:before="62"/>
        <w:ind w:right="90" w:rightChars="0"/>
        <w:jc w:val="center"/>
        <w:rPr>
          <w:rFonts w:ascii="方正小标宋简体" w:eastAsia="方正小标宋简体"/>
          <w:sz w:val="41"/>
          <w:lang w:eastAsia="zh-CN"/>
        </w:rPr>
      </w:pPr>
      <w:r>
        <w:rPr>
          <w:rFonts w:hint="eastAsia" w:ascii="方正小标宋简体" w:eastAsia="方正小标宋简体"/>
          <w:color w:val="231F20"/>
          <w:sz w:val="41"/>
          <w:lang w:eastAsia="zh-CN"/>
        </w:rPr>
        <w:t>稳定经济运行的若干政策</w:t>
      </w:r>
    </w:p>
    <w:p>
      <w:pPr>
        <w:pStyle w:val="3"/>
        <w:spacing w:before="5"/>
        <w:rPr>
          <w:rFonts w:ascii="方正小标宋简体"/>
          <w:sz w:val="45"/>
          <w:lang w:eastAsia="zh-CN"/>
        </w:rPr>
      </w:pPr>
    </w:p>
    <w:p>
      <w:pPr>
        <w:pStyle w:val="3"/>
        <w:spacing w:before="1" w:line="328" w:lineRule="auto"/>
        <w:ind w:left="213" w:right="171" w:firstLine="619"/>
        <w:jc w:val="both"/>
        <w:rPr>
          <w:lang w:eastAsia="zh-CN"/>
        </w:rPr>
      </w:pPr>
      <w:r>
        <w:rPr>
          <w:color w:val="231F20"/>
          <w:lang w:eastAsia="zh-CN"/>
        </w:rPr>
        <w:t>为深入贯彻党中央、国务院和省委、省政府决策部署，统筹好疫情防控和经济社会发展，全力帮助市场主体克服困难、恢复发展，持续优化营商环境，切实增强企业活力，在全面贯彻落实国家和湖南省促进工业经济平稳增长、促进服务业领域困难行业恢复发展等政策文件基础上，结合长沙实际，制定以下政策措施。</w:t>
      </w:r>
    </w:p>
    <w:p>
      <w:pPr>
        <w:pStyle w:val="3"/>
        <w:spacing w:before="31"/>
        <w:ind w:left="833"/>
        <w:rPr>
          <w:rFonts w:ascii="方正黑体_GBK" w:eastAsia="方正黑体_GBK"/>
          <w:lang w:eastAsia="zh-CN"/>
        </w:rPr>
      </w:pPr>
      <w:r>
        <w:rPr>
          <w:rFonts w:hint="eastAsia" w:ascii="方正黑体_GBK" w:eastAsia="方正黑体_GBK"/>
          <w:color w:val="231F20"/>
          <w:lang w:eastAsia="zh-CN"/>
        </w:rPr>
        <w:t>一、普惠性纾困政策</w:t>
      </w:r>
    </w:p>
    <w:p>
      <w:pPr>
        <w:pStyle w:val="3"/>
        <w:spacing w:before="160" w:line="328" w:lineRule="auto"/>
        <w:ind w:left="213" w:right="251" w:firstLine="515"/>
        <w:jc w:val="both"/>
        <w:rPr>
          <w:lang w:eastAsia="zh-CN"/>
        </w:rPr>
      </w:pPr>
      <w:r>
        <w:rPr>
          <w:color w:val="231F20"/>
          <w:lang w:eastAsia="zh-CN"/>
        </w:rPr>
        <w:t xml:space="preserve">（一） 扩大“ 六税两费” 减征范围。在 </w:t>
      </w:r>
      <w:r>
        <w:rPr>
          <w:rFonts w:ascii="Times New Roman" w:hAnsi="Times New Roman" w:eastAsia="Times New Roman"/>
          <w:color w:val="231F20"/>
          <w:lang w:eastAsia="zh-CN"/>
        </w:rPr>
        <w:t xml:space="preserve">50% </w:t>
      </w:r>
      <w:r>
        <w:rPr>
          <w:color w:val="231F20"/>
          <w:lang w:eastAsia="zh-CN"/>
        </w:rPr>
        <w:t>的税额幅度内减征资源税、城市维护建设税、房产税、城镇土地使用税、印花税</w:t>
      </w:r>
    </w:p>
    <w:p>
      <w:pPr>
        <w:pStyle w:val="3"/>
        <w:spacing w:before="35" w:line="328" w:lineRule="auto"/>
        <w:ind w:left="213" w:right="101" w:hanging="105"/>
        <w:jc w:val="both"/>
        <w:rPr>
          <w:lang w:eastAsia="zh-CN"/>
        </w:rPr>
      </w:pPr>
      <w:r>
        <w:rPr>
          <w:color w:val="231F20"/>
          <w:spacing w:val="-13"/>
          <w:lang w:eastAsia="zh-CN"/>
        </w:rPr>
        <w:t>（</w:t>
      </w:r>
      <w:r>
        <w:rPr>
          <w:color w:val="231F20"/>
          <w:spacing w:val="25"/>
          <w:lang w:eastAsia="zh-CN"/>
        </w:rPr>
        <w:t>不含证券交易印花税</w:t>
      </w:r>
      <w:r>
        <w:rPr>
          <w:color w:val="231F20"/>
          <w:spacing w:val="-71"/>
          <w:lang w:eastAsia="zh-CN"/>
        </w:rPr>
        <w:t>）</w:t>
      </w:r>
      <w:r>
        <w:rPr>
          <w:color w:val="231F20"/>
          <w:spacing w:val="30"/>
          <w:lang w:eastAsia="zh-CN"/>
        </w:rPr>
        <w:t>、耕地占用税和教育费附加、地方教育</w:t>
      </w:r>
      <w:r>
        <w:rPr>
          <w:color w:val="231F20"/>
          <w:spacing w:val="20"/>
          <w:lang w:eastAsia="zh-CN"/>
        </w:rPr>
        <w:t>附加，适用主体由增值税小规模纳税人扩展至小型微利企业和个</w:t>
      </w:r>
      <w:r>
        <w:rPr>
          <w:color w:val="231F20"/>
          <w:spacing w:val="11"/>
          <w:lang w:eastAsia="zh-CN"/>
        </w:rPr>
        <w:t xml:space="preserve">体工商户，实施期限为 </w:t>
      </w:r>
      <w:r>
        <w:rPr>
          <w:rFonts w:ascii="Times New Roman" w:eastAsia="Times New Roman"/>
          <w:color w:val="231F20"/>
          <w:lang w:eastAsia="zh-CN"/>
        </w:rPr>
        <w:t xml:space="preserve">2022 </w:t>
      </w:r>
      <w:r>
        <w:rPr>
          <w:color w:val="231F20"/>
          <w:spacing w:val="-28"/>
          <w:lang w:eastAsia="zh-CN"/>
        </w:rPr>
        <w:t xml:space="preserve">年 </w:t>
      </w:r>
      <w:r>
        <w:rPr>
          <w:rFonts w:ascii="Times New Roman" w:eastAsia="Times New Roman"/>
          <w:color w:val="231F20"/>
          <w:lang w:eastAsia="zh-CN"/>
        </w:rPr>
        <w:t xml:space="preserve">1 </w:t>
      </w:r>
      <w:r>
        <w:rPr>
          <w:color w:val="231F20"/>
          <w:spacing w:val="-28"/>
          <w:lang w:eastAsia="zh-CN"/>
        </w:rPr>
        <w:t xml:space="preserve">月 </w:t>
      </w:r>
      <w:r>
        <w:rPr>
          <w:rFonts w:ascii="Times New Roman" w:eastAsia="Times New Roman"/>
          <w:color w:val="231F20"/>
          <w:lang w:eastAsia="zh-CN"/>
        </w:rPr>
        <w:t xml:space="preserve">1 </w:t>
      </w:r>
      <w:r>
        <w:rPr>
          <w:color w:val="231F20"/>
          <w:spacing w:val="-4"/>
          <w:lang w:eastAsia="zh-CN"/>
        </w:rPr>
        <w:t xml:space="preserve">日起至 </w:t>
      </w:r>
      <w:r>
        <w:rPr>
          <w:rFonts w:ascii="Times New Roman" w:eastAsia="Times New Roman"/>
          <w:color w:val="231F20"/>
          <w:lang w:eastAsia="zh-CN"/>
        </w:rPr>
        <w:t xml:space="preserve">2024 </w:t>
      </w:r>
      <w:r>
        <w:rPr>
          <w:color w:val="231F20"/>
          <w:spacing w:val="-28"/>
          <w:lang w:eastAsia="zh-CN"/>
        </w:rPr>
        <w:t xml:space="preserve">年 </w:t>
      </w:r>
      <w:r>
        <w:rPr>
          <w:rFonts w:ascii="Times New Roman" w:eastAsia="Times New Roman"/>
          <w:color w:val="231F20"/>
          <w:lang w:eastAsia="zh-CN"/>
        </w:rPr>
        <w:t xml:space="preserve">12 </w:t>
      </w:r>
      <w:r>
        <w:rPr>
          <w:color w:val="231F20"/>
          <w:spacing w:val="-28"/>
          <w:lang w:eastAsia="zh-CN"/>
        </w:rPr>
        <w:t xml:space="preserve">月 </w:t>
      </w:r>
      <w:r>
        <w:rPr>
          <w:rFonts w:ascii="Times New Roman" w:eastAsia="Times New Roman"/>
          <w:color w:val="231F20"/>
          <w:lang w:eastAsia="zh-CN"/>
        </w:rPr>
        <w:t xml:space="preserve">31 </w:t>
      </w:r>
      <w:r>
        <w:rPr>
          <w:color w:val="231F20"/>
          <w:spacing w:val="13"/>
          <w:lang w:eastAsia="zh-CN"/>
        </w:rPr>
        <w:t>日止。</w:t>
      </w:r>
    </w:p>
    <w:p>
      <w:pPr>
        <w:pStyle w:val="3"/>
        <w:spacing w:before="34" w:line="328" w:lineRule="auto"/>
        <w:ind w:left="213"/>
        <w:rPr>
          <w:lang w:eastAsia="zh-CN"/>
        </w:rPr>
      </w:pPr>
      <w:r>
        <w:rPr>
          <w:rFonts w:ascii="Times New Roman" w:eastAsia="Times New Roman"/>
          <w:color w:val="231F20"/>
          <w:lang w:eastAsia="zh-CN"/>
        </w:rPr>
        <w:t xml:space="preserve">2022 </w:t>
      </w:r>
      <w:r>
        <w:rPr>
          <w:color w:val="231F20"/>
          <w:lang w:eastAsia="zh-CN"/>
        </w:rPr>
        <w:t>年对受疫情影响， 缴纳房产税、城镇土地使用税确有困难且符合条件的纳税人，按照国家政策规定予以减免。（责任单位： 国家税务总局长沙市税务局、市财政局、各区县市人民政府等）</w:t>
      </w:r>
    </w:p>
    <w:p>
      <w:pPr>
        <w:pStyle w:val="3"/>
        <w:spacing w:before="35" w:line="328" w:lineRule="auto"/>
        <w:ind w:left="213" w:right="250" w:firstLine="515"/>
        <w:jc w:val="both"/>
        <w:rPr>
          <w:color w:val="231F20"/>
          <w:spacing w:val="-11"/>
          <w:lang w:eastAsia="zh-CN"/>
        </w:rPr>
      </w:pPr>
      <w:r>
        <w:rPr>
          <w:color w:val="231F20"/>
          <w:lang w:eastAsia="zh-CN"/>
        </w:rPr>
        <w:t>（二） 延续服务业增值税加计抵减政策。</w:t>
      </w:r>
      <w:r>
        <w:rPr>
          <w:rFonts w:ascii="Times New Roman" w:eastAsia="Times New Roman"/>
          <w:color w:val="231F20"/>
          <w:lang w:eastAsia="zh-CN"/>
        </w:rPr>
        <w:t xml:space="preserve">2022 </w:t>
      </w:r>
      <w:r>
        <w:rPr>
          <w:color w:val="231F20"/>
          <w:lang w:eastAsia="zh-CN"/>
        </w:rPr>
        <w:t xml:space="preserve">年对生产、生活性服务业纳税人当期可抵扣进项税额继续分别按 </w:t>
      </w:r>
      <w:r>
        <w:rPr>
          <w:rFonts w:ascii="Times New Roman" w:eastAsia="Times New Roman"/>
          <w:color w:val="231F20"/>
          <w:lang w:eastAsia="zh-CN"/>
        </w:rPr>
        <w:t xml:space="preserve">10% </w:t>
      </w:r>
      <w:r>
        <w:rPr>
          <w:color w:val="231F20"/>
          <w:lang w:eastAsia="zh-CN"/>
        </w:rPr>
        <w:t xml:space="preserve">和 </w:t>
      </w:r>
      <w:r>
        <w:rPr>
          <w:rFonts w:ascii="Times New Roman" w:eastAsia="Times New Roman"/>
          <w:color w:val="231F20"/>
          <w:lang w:eastAsia="zh-CN"/>
        </w:rPr>
        <w:t xml:space="preserve">15% </w:t>
      </w:r>
      <w:r>
        <w:rPr>
          <w:color w:val="231F20"/>
          <w:lang w:eastAsia="zh-CN"/>
        </w:rPr>
        <w:t>加计抵减应纳税额。（责任单位： 市财政局、国家税务总局长沙市税务局、各区县市人民政府）</w:t>
      </w:r>
    </w:p>
    <w:p>
      <w:pPr>
        <w:pStyle w:val="3"/>
        <w:spacing w:before="3" w:line="338" w:lineRule="auto"/>
        <w:ind w:left="113" w:right="109" w:firstLine="515"/>
        <w:rPr>
          <w:lang w:eastAsia="zh-CN"/>
        </w:rPr>
      </w:pPr>
      <w:r>
        <w:rPr>
          <w:color w:val="231F20"/>
          <w:spacing w:val="-11"/>
          <w:lang w:eastAsia="zh-CN"/>
        </w:rPr>
        <w:t>（三</w:t>
      </w:r>
      <w:r>
        <w:rPr>
          <w:color w:val="231F20"/>
          <w:lang w:eastAsia="zh-CN"/>
        </w:rPr>
        <w:t>）</w:t>
      </w:r>
      <w:r>
        <w:rPr>
          <w:color w:val="231F20"/>
          <w:spacing w:val="30"/>
          <w:lang w:eastAsia="zh-CN"/>
        </w:rPr>
        <w:t xml:space="preserve"> 继续执行阶段性降低失业保险、工伤保险费率政策。</w:t>
      </w:r>
      <w:r>
        <w:rPr>
          <w:color w:val="231F20"/>
          <w:spacing w:val="20"/>
          <w:lang w:eastAsia="zh-CN"/>
        </w:rPr>
        <w:t xml:space="preserve">失业保险费率继续按 </w:t>
      </w:r>
      <w:r>
        <w:rPr>
          <w:rFonts w:ascii="Times New Roman" w:eastAsia="Times New Roman"/>
          <w:color w:val="231F20"/>
          <w:lang w:eastAsia="zh-CN"/>
        </w:rPr>
        <w:t>1</w:t>
      </w:r>
      <w:r>
        <w:rPr>
          <w:rFonts w:ascii="Times New Roman" w:eastAsia="Times New Roman"/>
          <w:color w:val="231F20"/>
          <w:spacing w:val="12"/>
          <w:lang w:eastAsia="zh-CN"/>
        </w:rPr>
        <w:t xml:space="preserve">% </w:t>
      </w:r>
      <w:r>
        <w:rPr>
          <w:color w:val="231F20"/>
          <w:spacing w:val="-13"/>
          <w:lang w:eastAsia="zh-CN"/>
        </w:rPr>
        <w:t>（</w:t>
      </w:r>
      <w:r>
        <w:rPr>
          <w:color w:val="231F20"/>
          <w:spacing w:val="10"/>
          <w:lang w:eastAsia="zh-CN"/>
        </w:rPr>
        <w:t xml:space="preserve">其中单位 </w:t>
      </w:r>
      <w:r>
        <w:rPr>
          <w:rFonts w:ascii="Times New Roman" w:eastAsia="Times New Roman"/>
          <w:color w:val="231F20"/>
          <w:spacing w:val="3"/>
          <w:lang w:eastAsia="zh-CN"/>
        </w:rPr>
        <w:t>0.7%</w:t>
      </w:r>
      <w:r>
        <w:rPr>
          <w:color w:val="231F20"/>
          <w:spacing w:val="-19"/>
          <w:lang w:eastAsia="zh-CN"/>
        </w:rPr>
        <w:t xml:space="preserve">， 个人 </w:t>
      </w:r>
      <w:r>
        <w:rPr>
          <w:rFonts w:ascii="Times New Roman" w:eastAsia="Times New Roman"/>
          <w:color w:val="231F20"/>
          <w:spacing w:val="-19"/>
          <w:lang w:eastAsia="zh-CN"/>
        </w:rPr>
        <w:t>0.3%</w:t>
      </w:r>
      <w:r>
        <w:rPr>
          <w:color w:val="231F20"/>
          <w:spacing w:val="-19"/>
          <w:lang w:eastAsia="zh-CN"/>
        </w:rPr>
        <w:t>）</w:t>
      </w:r>
      <w:r>
        <w:rPr>
          <w:color w:val="231F20"/>
          <w:spacing w:val="22"/>
          <w:lang w:eastAsia="zh-CN"/>
        </w:rPr>
        <w:t>、工伤保</w:t>
      </w:r>
      <w:r>
        <w:rPr>
          <w:color w:val="231F20"/>
          <w:spacing w:val="20"/>
          <w:lang w:eastAsia="zh-CN"/>
        </w:rPr>
        <w:t xml:space="preserve">险费率按阶段性降低工伤保险费率期间的现行费率执行，阶段性 </w:t>
      </w:r>
      <w:r>
        <w:rPr>
          <w:color w:val="231F20"/>
          <w:spacing w:val="17"/>
          <w:lang w:eastAsia="zh-CN"/>
        </w:rPr>
        <w:t>降费政策延长至</w:t>
      </w:r>
      <w:r>
        <w:rPr>
          <w:rFonts w:ascii="Times New Roman" w:eastAsia="Times New Roman"/>
          <w:color w:val="231F20"/>
          <w:lang w:eastAsia="zh-CN"/>
        </w:rPr>
        <w:t>2023</w:t>
      </w:r>
      <w:r>
        <w:rPr>
          <w:rFonts w:ascii="Times New Roman" w:eastAsia="Times New Roman"/>
          <w:color w:val="231F20"/>
          <w:spacing w:val="-1"/>
          <w:lang w:eastAsia="zh-CN"/>
        </w:rPr>
        <w:t xml:space="preserve"> </w:t>
      </w:r>
      <w:r>
        <w:rPr>
          <w:color w:val="231F20"/>
          <w:spacing w:val="50"/>
          <w:lang w:eastAsia="zh-CN"/>
        </w:rPr>
        <w:t>年</w:t>
      </w:r>
      <w:r>
        <w:rPr>
          <w:rFonts w:ascii="Times New Roman" w:eastAsia="Times New Roman"/>
          <w:color w:val="231F20"/>
          <w:lang w:eastAsia="zh-CN"/>
        </w:rPr>
        <w:t>4</w:t>
      </w:r>
      <w:r>
        <w:rPr>
          <w:rFonts w:ascii="Times New Roman" w:eastAsia="Times New Roman"/>
          <w:color w:val="231F20"/>
          <w:spacing w:val="-1"/>
          <w:lang w:eastAsia="zh-CN"/>
        </w:rPr>
        <w:t xml:space="preserve"> </w:t>
      </w:r>
      <w:r>
        <w:rPr>
          <w:color w:val="231F20"/>
          <w:spacing w:val="50"/>
          <w:lang w:eastAsia="zh-CN"/>
        </w:rPr>
        <w:t>月</w:t>
      </w:r>
      <w:r>
        <w:rPr>
          <w:rFonts w:ascii="Times New Roman" w:eastAsia="Times New Roman"/>
          <w:color w:val="231F20"/>
          <w:lang w:eastAsia="zh-CN"/>
        </w:rPr>
        <w:t>30</w:t>
      </w:r>
      <w:r>
        <w:rPr>
          <w:rFonts w:ascii="Times New Roman" w:eastAsia="Times New Roman"/>
          <w:color w:val="231F20"/>
          <w:spacing w:val="-1"/>
          <w:lang w:eastAsia="zh-CN"/>
        </w:rPr>
        <w:t xml:space="preserve"> </w:t>
      </w:r>
      <w:r>
        <w:rPr>
          <w:color w:val="231F20"/>
          <w:spacing w:val="-40"/>
          <w:lang w:eastAsia="zh-CN"/>
        </w:rPr>
        <w:t>日。</w:t>
      </w:r>
      <w:r>
        <w:rPr>
          <w:color w:val="231F20"/>
          <w:spacing w:val="-32"/>
          <w:lang w:eastAsia="zh-CN"/>
        </w:rPr>
        <w:t>（</w:t>
      </w:r>
      <w:r>
        <w:rPr>
          <w:color w:val="231F20"/>
          <w:spacing w:val="10"/>
          <w:lang w:eastAsia="zh-CN"/>
        </w:rPr>
        <w:t>责任单位：市人力资源社会保</w:t>
      </w:r>
      <w:r>
        <w:rPr>
          <w:color w:val="231F20"/>
          <w:spacing w:val="2"/>
          <w:lang w:eastAsia="zh-CN"/>
        </w:rPr>
        <w:t>障局、国家税务总局长沙市税务局、市财政局、各区县市人民政府</w:t>
      </w:r>
      <w:r>
        <w:rPr>
          <w:color w:val="231F20"/>
          <w:lang w:eastAsia="zh-CN"/>
        </w:rPr>
        <w:t>）</w:t>
      </w:r>
    </w:p>
    <w:p>
      <w:pPr>
        <w:pStyle w:val="3"/>
        <w:spacing w:before="39" w:line="338" w:lineRule="auto"/>
        <w:ind w:left="113" w:right="109" w:firstLine="515"/>
        <w:rPr>
          <w:lang w:eastAsia="zh-CN"/>
        </w:rPr>
      </w:pPr>
      <w:r>
        <w:rPr>
          <w:color w:val="231F20"/>
          <w:lang w:eastAsia="zh-CN"/>
        </w:rPr>
        <w:t>（四） 继续执行失业保险稳岗返还和失业补助金政策。对不裁员、少裁员的企业继续实施普惠性失业保险稳岗返还政策，</w:t>
      </w:r>
    </w:p>
    <w:p>
      <w:pPr>
        <w:pStyle w:val="3"/>
        <w:spacing w:before="39" w:line="338" w:lineRule="auto"/>
        <w:ind w:left="113" w:right="251"/>
        <w:jc w:val="both"/>
        <w:rPr>
          <w:lang w:eastAsia="zh-CN"/>
        </w:rPr>
      </w:pPr>
      <w:r>
        <w:rPr>
          <w:rFonts w:ascii="Times New Roman" w:eastAsia="Times New Roman"/>
          <w:color w:val="231F20"/>
          <w:lang w:eastAsia="zh-CN"/>
        </w:rPr>
        <w:t xml:space="preserve">2022 </w:t>
      </w:r>
      <w:r>
        <w:rPr>
          <w:color w:val="231F20"/>
          <w:lang w:eastAsia="zh-CN"/>
        </w:rPr>
        <w:t xml:space="preserve">年度将中小微企业返还比例从 </w:t>
      </w:r>
      <w:r>
        <w:rPr>
          <w:rFonts w:ascii="Times New Roman" w:eastAsia="Times New Roman"/>
          <w:color w:val="231F20"/>
          <w:lang w:eastAsia="zh-CN"/>
        </w:rPr>
        <w:t xml:space="preserve">60% </w:t>
      </w:r>
      <w:r>
        <w:rPr>
          <w:color w:val="231F20"/>
          <w:lang w:eastAsia="zh-CN"/>
        </w:rPr>
        <w:t xml:space="preserve">最高提至 </w:t>
      </w:r>
      <w:r>
        <w:rPr>
          <w:rFonts w:ascii="Times New Roman" w:eastAsia="Times New Roman"/>
          <w:color w:val="231F20"/>
          <w:lang w:eastAsia="zh-CN"/>
        </w:rPr>
        <w:t>90%</w:t>
      </w:r>
      <w:r>
        <w:rPr>
          <w:color w:val="231F20"/>
          <w:lang w:eastAsia="zh-CN"/>
        </w:rPr>
        <w:t xml:space="preserve">。延续执行失业保险阶段性扩围政策， </w:t>
      </w:r>
      <w:r>
        <w:rPr>
          <w:rFonts w:ascii="Times New Roman" w:eastAsia="Times New Roman"/>
          <w:color w:val="231F20"/>
          <w:lang w:eastAsia="zh-CN"/>
        </w:rPr>
        <w:t xml:space="preserve">2022 </w:t>
      </w:r>
      <w:r>
        <w:rPr>
          <w:color w:val="231F20"/>
          <w:lang w:eastAsia="zh-CN"/>
        </w:rPr>
        <w:t>年底前继续向参保失业人员发放失业补助金。（责任单位： 市人力资源社会保障局、市财政局、各区县市人民政府）</w:t>
      </w:r>
    </w:p>
    <w:p>
      <w:pPr>
        <w:pStyle w:val="3"/>
        <w:spacing w:before="39" w:line="338" w:lineRule="auto"/>
        <w:ind w:left="113" w:right="251" w:firstLine="515"/>
        <w:jc w:val="both"/>
        <w:rPr>
          <w:lang w:eastAsia="zh-CN"/>
        </w:rPr>
      </w:pPr>
      <w:r>
        <w:rPr>
          <w:color w:val="231F20"/>
          <w:lang w:eastAsia="zh-CN"/>
        </w:rPr>
        <w:t xml:space="preserve">（五） 缓缴或降低住房公积金。对受疫情影响、缴存住房公积金确有困难的企业等用人单位，可依法申请缓缴住房公积金或降低住房公积金缴存比例， 期限不超过 </w:t>
      </w:r>
      <w:r>
        <w:rPr>
          <w:rFonts w:ascii="Times New Roman" w:eastAsia="Times New Roman"/>
          <w:color w:val="231F20"/>
          <w:lang w:eastAsia="zh-CN"/>
        </w:rPr>
        <w:t xml:space="preserve">12 </w:t>
      </w:r>
      <w:r>
        <w:rPr>
          <w:color w:val="231F20"/>
          <w:lang w:eastAsia="zh-CN"/>
        </w:rPr>
        <w:t>个月。（责任单位： 长沙住房公积金管理中心、各区县市人民政府等）</w:t>
      </w:r>
    </w:p>
    <w:p>
      <w:pPr>
        <w:pStyle w:val="3"/>
        <w:spacing w:before="39" w:line="338" w:lineRule="auto"/>
        <w:ind w:left="113" w:right="102" w:firstLine="515"/>
        <w:rPr>
          <w:lang w:eastAsia="zh-CN"/>
        </w:rPr>
      </w:pPr>
      <w:r>
        <w:rPr>
          <w:color w:val="231F20"/>
          <w:lang w:eastAsia="zh-CN"/>
        </w:rPr>
        <w:t xml:space="preserve">（六） 减免房屋租金。服务业小微企业和个体工商户承租市属、区县 （市） 属行政事业单位和国有独资、全资、绝对控股企业单位 （自身为服务业小微企业、困难企业和僵尸企业的国有企业除外） 的房屋， 免除 </w:t>
      </w:r>
      <w:r>
        <w:rPr>
          <w:rFonts w:ascii="Times New Roman" w:eastAsia="Times New Roman"/>
          <w:color w:val="231F20"/>
          <w:lang w:eastAsia="zh-CN"/>
        </w:rPr>
        <w:t xml:space="preserve">3 </w:t>
      </w:r>
      <w:r>
        <w:rPr>
          <w:color w:val="231F20"/>
          <w:lang w:eastAsia="zh-CN"/>
        </w:rPr>
        <w:t xml:space="preserve">个月租金， 被列为疫情中高风险地区的免除 </w:t>
      </w:r>
      <w:r>
        <w:rPr>
          <w:rFonts w:ascii="Times New Roman" w:eastAsia="Times New Roman"/>
          <w:color w:val="231F20"/>
          <w:lang w:eastAsia="zh-CN"/>
        </w:rPr>
        <w:t xml:space="preserve">6 </w:t>
      </w:r>
      <w:r>
        <w:rPr>
          <w:color w:val="231F20"/>
          <w:lang w:eastAsia="zh-CN"/>
        </w:rPr>
        <w:t>个月租金。因减免租金影响国有企事业单位业绩的， 在考核中根据实际情况予以认可。鼓励写字楼、商场、商业综合体、专业园区等非国有物业业主与租户共克时艰， 协商免租、减租、</w:t>
      </w:r>
      <w:r>
        <w:rPr>
          <w:color w:val="231F20"/>
          <w:spacing w:val="12"/>
          <w:lang w:eastAsia="zh-CN"/>
        </w:rPr>
        <w:t xml:space="preserve">缓租， 根据实际由所属区县 </w:t>
      </w:r>
      <w:r>
        <w:rPr>
          <w:color w:val="231F20"/>
          <w:spacing w:val="-18"/>
          <w:lang w:eastAsia="zh-CN"/>
        </w:rPr>
        <w:t>（市</w:t>
      </w:r>
      <w:r>
        <w:rPr>
          <w:color w:val="231F20"/>
          <w:spacing w:val="-77"/>
          <w:lang w:eastAsia="zh-CN"/>
        </w:rPr>
        <w:t>）</w:t>
      </w:r>
      <w:r>
        <w:rPr>
          <w:color w:val="231F20"/>
          <w:spacing w:val="23"/>
          <w:lang w:eastAsia="zh-CN"/>
        </w:rPr>
        <w:t>、园区予以适当支持。对为服</w:t>
      </w:r>
      <w:r>
        <w:rPr>
          <w:color w:val="231F20"/>
          <w:spacing w:val="26"/>
          <w:lang w:eastAsia="zh-CN"/>
        </w:rPr>
        <w:t xml:space="preserve">务业小微企业和个体工商户减免房屋租金的房屋业主， </w:t>
      </w:r>
      <w:r>
        <w:rPr>
          <w:rFonts w:ascii="Times New Roman" w:eastAsia="Times New Roman"/>
          <w:color w:val="231F20"/>
          <w:lang w:eastAsia="zh-CN"/>
        </w:rPr>
        <w:t xml:space="preserve">2022 </w:t>
      </w:r>
      <w:r>
        <w:rPr>
          <w:color w:val="231F20"/>
          <w:lang w:eastAsia="zh-CN"/>
        </w:rPr>
        <w:t>年</w:t>
      </w:r>
      <w:r>
        <w:rPr>
          <w:color w:val="231F20"/>
          <w:spacing w:val="18"/>
          <w:lang w:eastAsia="zh-CN"/>
        </w:rPr>
        <w:t>缴纳房产税、城镇土地使用税确有困难的， 可申请减免。</w:t>
      </w:r>
      <w:r>
        <w:rPr>
          <w:color w:val="231F20"/>
          <w:spacing w:val="-18"/>
          <w:lang w:eastAsia="zh-CN"/>
        </w:rPr>
        <w:t>（</w:t>
      </w:r>
      <w:r>
        <w:rPr>
          <w:color w:val="231F20"/>
          <w:spacing w:val="12"/>
          <w:lang w:eastAsia="zh-CN"/>
        </w:rPr>
        <w:t>责任</w:t>
      </w:r>
      <w:r>
        <w:rPr>
          <w:color w:val="231F20"/>
          <w:spacing w:val="20"/>
          <w:lang w:eastAsia="zh-CN"/>
        </w:rPr>
        <w:t>单位：市国资委、国家税务总局长沙市税务局、市财政局、市住</w:t>
      </w:r>
      <w:r>
        <w:rPr>
          <w:color w:val="231F20"/>
          <w:spacing w:val="18"/>
          <w:lang w:eastAsia="zh-CN"/>
        </w:rPr>
        <w:t>房城乡建设局、各区县市人民政府、各园区管委会等</w:t>
      </w:r>
      <w:r>
        <w:rPr>
          <w:color w:val="231F20"/>
          <w:lang w:eastAsia="zh-CN"/>
        </w:rPr>
        <w:t>）</w:t>
      </w:r>
    </w:p>
    <w:p>
      <w:pPr>
        <w:pStyle w:val="3"/>
        <w:spacing w:before="39" w:line="338" w:lineRule="auto"/>
        <w:ind w:left="113" w:right="251" w:firstLine="515"/>
        <w:jc w:val="both"/>
        <w:rPr>
          <w:lang w:eastAsia="zh-CN"/>
        </w:rPr>
      </w:pPr>
      <w:r>
        <w:rPr>
          <w:color w:val="231F20"/>
          <w:spacing w:val="-17"/>
          <w:lang w:eastAsia="zh-CN"/>
        </w:rPr>
        <w:t>（七</w:t>
      </w:r>
      <w:r>
        <w:rPr>
          <w:color w:val="231F20"/>
          <w:lang w:eastAsia="zh-CN"/>
        </w:rPr>
        <w:t>）</w:t>
      </w:r>
      <w:r>
        <w:rPr>
          <w:color w:val="231F20"/>
          <w:spacing w:val="25"/>
          <w:lang w:eastAsia="zh-CN"/>
        </w:rPr>
        <w:t xml:space="preserve"> 降低企业用电用水用气等成本。对受疫情影响的企业</w:t>
      </w:r>
      <w:r>
        <w:rPr>
          <w:color w:val="231F20"/>
          <w:spacing w:val="15"/>
          <w:lang w:eastAsia="zh-CN"/>
        </w:rPr>
        <w:t xml:space="preserve">和个体工商户 </w:t>
      </w:r>
      <w:r>
        <w:rPr>
          <w:rFonts w:ascii="Times New Roman" w:hAnsi="Times New Roman" w:eastAsia="Times New Roman"/>
          <w:color w:val="231F20"/>
          <w:lang w:eastAsia="zh-CN"/>
        </w:rPr>
        <w:t xml:space="preserve">2022 </w:t>
      </w:r>
      <w:r>
        <w:rPr>
          <w:color w:val="231F20"/>
          <w:spacing w:val="-20"/>
          <w:lang w:eastAsia="zh-CN"/>
        </w:rPr>
        <w:t xml:space="preserve">年 </w:t>
      </w:r>
      <w:r>
        <w:rPr>
          <w:rFonts w:ascii="Times New Roman" w:hAnsi="Times New Roman" w:eastAsia="Times New Roman"/>
          <w:color w:val="231F20"/>
          <w:lang w:eastAsia="zh-CN"/>
        </w:rPr>
        <w:t xml:space="preserve">3 </w:t>
      </w:r>
      <w:r>
        <w:rPr>
          <w:color w:val="231F20"/>
          <w:spacing w:val="30"/>
          <w:lang w:eastAsia="zh-CN"/>
        </w:rPr>
        <w:t>月、</w:t>
      </w:r>
      <w:r>
        <w:rPr>
          <w:rFonts w:ascii="Times New Roman" w:hAnsi="Times New Roman" w:eastAsia="Times New Roman"/>
          <w:color w:val="231F20"/>
          <w:lang w:eastAsia="zh-CN"/>
        </w:rPr>
        <w:t xml:space="preserve">4 </w:t>
      </w:r>
      <w:r>
        <w:rPr>
          <w:color w:val="231F20"/>
          <w:spacing w:val="30"/>
          <w:lang w:eastAsia="zh-CN"/>
        </w:rPr>
        <w:t>月、</w:t>
      </w:r>
      <w:r>
        <w:rPr>
          <w:rFonts w:ascii="Times New Roman" w:hAnsi="Times New Roman" w:eastAsia="Times New Roman"/>
          <w:color w:val="231F20"/>
          <w:lang w:eastAsia="zh-CN"/>
        </w:rPr>
        <w:t xml:space="preserve">5 </w:t>
      </w:r>
      <w:r>
        <w:rPr>
          <w:color w:val="231F20"/>
          <w:spacing w:val="26"/>
          <w:lang w:eastAsia="zh-CN"/>
        </w:rPr>
        <w:t>月欠费不停水、不停电、不</w:t>
      </w:r>
      <w:r>
        <w:rPr>
          <w:color w:val="231F20"/>
          <w:spacing w:val="20"/>
          <w:lang w:eastAsia="zh-CN"/>
        </w:rPr>
        <w:t>停气，经申请审核通过后减免在此期间产生的欠费违约金。对疫情防控物资生产类新办企业、需扩大产能企业的用电需求，开辟办电绿色通道，实施“零上门、零审批、零投资”的“三零”服务。对因疫情防控引发的企业基本电费计收方式变更、暂停及其</w:t>
      </w:r>
      <w:r>
        <w:rPr>
          <w:color w:val="231F20"/>
          <w:spacing w:val="11"/>
          <w:lang w:eastAsia="zh-CN"/>
        </w:rPr>
        <w:t>恢复等业务， 实行“ 当日受理、次日办结”“ 先办理、后补材</w:t>
      </w:r>
      <w:r>
        <w:rPr>
          <w:color w:val="231F20"/>
          <w:spacing w:val="-29"/>
          <w:w w:val="101"/>
          <w:lang w:eastAsia="zh-CN"/>
        </w:rPr>
        <w:t>料”，</w:t>
      </w:r>
      <w:r>
        <w:rPr>
          <w:color w:val="231F20"/>
          <w:spacing w:val="-96"/>
          <w:lang w:eastAsia="zh-CN"/>
        </w:rPr>
        <w:t xml:space="preserve"> </w:t>
      </w:r>
      <w:r>
        <w:rPr>
          <w:color w:val="231F20"/>
          <w:spacing w:val="23"/>
          <w:w w:val="101"/>
          <w:lang w:eastAsia="zh-CN"/>
        </w:rPr>
        <w:t>全力支持企业尽快复工复产。</w:t>
      </w:r>
      <w:r>
        <w:rPr>
          <w:color w:val="231F20"/>
          <w:spacing w:val="-13"/>
          <w:w w:val="101"/>
          <w:lang w:eastAsia="zh-CN"/>
        </w:rPr>
        <w:t>（</w:t>
      </w:r>
      <w:r>
        <w:rPr>
          <w:color w:val="231F20"/>
          <w:spacing w:val="23"/>
          <w:w w:val="101"/>
          <w:lang w:eastAsia="zh-CN"/>
        </w:rPr>
        <w:t>责任单位：</w:t>
      </w:r>
      <w:r>
        <w:rPr>
          <w:color w:val="231F20"/>
          <w:spacing w:val="-96"/>
          <w:lang w:eastAsia="zh-CN"/>
        </w:rPr>
        <w:t xml:space="preserve"> </w:t>
      </w:r>
      <w:r>
        <w:rPr>
          <w:color w:val="231F20"/>
          <w:spacing w:val="26"/>
          <w:w w:val="101"/>
          <w:lang w:eastAsia="zh-CN"/>
        </w:rPr>
        <w:t>国网长沙供电</w:t>
      </w:r>
      <w:r>
        <w:rPr>
          <w:color w:val="231F20"/>
          <w:spacing w:val="20"/>
          <w:lang w:eastAsia="zh-CN"/>
        </w:rPr>
        <w:t>公司、长沙水业集团、长沙新奥燃气有限公司、市公安局、市城</w:t>
      </w:r>
      <w:r>
        <w:rPr>
          <w:color w:val="231F20"/>
          <w:spacing w:val="11"/>
          <w:lang w:eastAsia="zh-CN"/>
        </w:rPr>
        <w:t>管执法局等</w:t>
      </w:r>
      <w:r>
        <w:rPr>
          <w:color w:val="231F20"/>
          <w:lang w:eastAsia="zh-CN"/>
        </w:rPr>
        <w:t>）</w:t>
      </w:r>
    </w:p>
    <w:p>
      <w:pPr>
        <w:pStyle w:val="3"/>
        <w:spacing w:before="39" w:line="338" w:lineRule="auto"/>
        <w:ind w:left="113" w:right="102" w:firstLine="515"/>
        <w:rPr>
          <w:sz w:val="26"/>
          <w:lang w:eastAsia="zh-CN"/>
        </w:rPr>
      </w:pPr>
      <w:r>
        <w:rPr>
          <w:color w:val="231F20"/>
          <w:spacing w:val="-17"/>
          <w:lang w:eastAsia="zh-CN"/>
        </w:rPr>
        <w:t>（八</w:t>
      </w:r>
      <w:r>
        <w:rPr>
          <w:color w:val="231F20"/>
          <w:lang w:eastAsia="zh-CN"/>
        </w:rPr>
        <w:t>）</w:t>
      </w:r>
      <w:r>
        <w:rPr>
          <w:color w:val="231F20"/>
          <w:spacing w:val="17"/>
          <w:lang w:eastAsia="zh-CN"/>
        </w:rPr>
        <w:t xml:space="preserve"> 补贴企业防疫消杀支出。对制造业、住宿餐饮业、批</w:t>
      </w:r>
      <w:r>
        <w:rPr>
          <w:color w:val="231F20"/>
          <w:spacing w:val="30"/>
          <w:lang w:eastAsia="zh-CN"/>
        </w:rPr>
        <w:t>发零售业、文体旅游业、交通运输及物流业、建筑业、农贸市</w:t>
      </w:r>
      <w:r>
        <w:rPr>
          <w:color w:val="231F20"/>
          <w:spacing w:val="20"/>
          <w:lang w:eastAsia="zh-CN"/>
        </w:rPr>
        <w:t>场、会展等行业的企业防疫物资、消杀服务等支出，根据实际由</w:t>
      </w:r>
      <w:r>
        <w:rPr>
          <w:color w:val="231F20"/>
          <w:spacing w:val="11"/>
          <w:lang w:eastAsia="zh-CN"/>
        </w:rPr>
        <w:t xml:space="preserve">所属区县 </w:t>
      </w:r>
      <w:r>
        <w:rPr>
          <w:color w:val="231F20"/>
          <w:spacing w:val="-18"/>
          <w:lang w:eastAsia="zh-CN"/>
        </w:rPr>
        <w:t>（市</w:t>
      </w:r>
      <w:r>
        <w:rPr>
          <w:color w:val="231F20"/>
          <w:spacing w:val="-77"/>
          <w:lang w:eastAsia="zh-CN"/>
        </w:rPr>
        <w:t>）</w:t>
      </w:r>
      <w:r>
        <w:rPr>
          <w:color w:val="231F20"/>
          <w:spacing w:val="12"/>
          <w:lang w:eastAsia="zh-CN"/>
        </w:rPr>
        <w:t>、园区给予补贴， 原则上应给予餐饮、零售企业</w:t>
      </w:r>
      <w:r>
        <w:rPr>
          <w:color w:val="231F20"/>
          <w:spacing w:val="16"/>
          <w:lang w:eastAsia="zh-CN"/>
        </w:rPr>
        <w:t xml:space="preserve">员工定期核酸检测不低于 </w:t>
      </w:r>
      <w:r>
        <w:rPr>
          <w:rFonts w:ascii="Times New Roman" w:eastAsia="Times New Roman"/>
          <w:color w:val="231F20"/>
          <w:lang w:eastAsia="zh-CN"/>
        </w:rPr>
        <w:t>50</w:t>
      </w:r>
      <w:r>
        <w:rPr>
          <w:rFonts w:ascii="Times New Roman" w:eastAsia="Times New Roman"/>
          <w:color w:val="231F20"/>
          <w:spacing w:val="7"/>
          <w:lang w:eastAsia="zh-CN"/>
        </w:rPr>
        <w:t xml:space="preserve">% </w:t>
      </w:r>
      <w:r>
        <w:rPr>
          <w:color w:val="231F20"/>
          <w:spacing w:val="12"/>
          <w:lang w:eastAsia="zh-CN"/>
        </w:rPr>
        <w:t>比例的补贴支持。</w:t>
      </w:r>
      <w:r>
        <w:rPr>
          <w:color w:val="231F20"/>
          <w:spacing w:val="-18"/>
          <w:lang w:eastAsia="zh-CN"/>
        </w:rPr>
        <w:t>（</w:t>
      </w:r>
      <w:r>
        <w:rPr>
          <w:color w:val="231F20"/>
          <w:lang w:eastAsia="zh-CN"/>
        </w:rPr>
        <w:t>责任单位： 各</w:t>
      </w:r>
      <w:r>
        <w:rPr>
          <w:color w:val="231F20"/>
          <w:spacing w:val="25"/>
          <w:lang w:eastAsia="zh-CN"/>
        </w:rPr>
        <w:t>行业主管部门、市卫生健康委、市财政局、各区县市人民政府、</w:t>
      </w:r>
      <w:r>
        <w:rPr>
          <w:color w:val="231F20"/>
          <w:spacing w:val="13"/>
          <w:lang w:eastAsia="zh-CN"/>
        </w:rPr>
        <w:t>各园区管委会等</w:t>
      </w:r>
      <w:r>
        <w:rPr>
          <w:color w:val="231F20"/>
          <w:lang w:eastAsia="zh-CN"/>
        </w:rPr>
        <w:t>）</w:t>
      </w:r>
    </w:p>
    <w:p>
      <w:pPr>
        <w:pStyle w:val="3"/>
        <w:spacing w:before="3" w:line="338" w:lineRule="auto"/>
        <w:ind w:left="253" w:right="87" w:firstLine="515"/>
        <w:rPr>
          <w:lang w:eastAsia="zh-CN"/>
        </w:rPr>
      </w:pPr>
      <w:r>
        <w:rPr>
          <w:color w:val="231F20"/>
        </w:rPr>
        <w:t>（九） 加大金融支持力度。</w:t>
      </w:r>
      <w:r>
        <w:rPr>
          <w:color w:val="231F20"/>
          <w:lang w:eastAsia="zh-CN"/>
        </w:rPr>
        <w:t>鼓励和支持金融机构创新金融产品和服务，加大对中小微企业信贷支持。引导金融机构继续落实普惠小微企业贷款延期还本付息政策和信用贷款支持政策，不得盲目惜贷、抽贷、断贷、压贷。制造业、餐饮业、批发零售业、文化旅游业、交通运输及物流业等行业主管部门建立健全企业项目融资库，发挥各类金融综合服务平台融资优势，推动融资供需精准对接。（责任单位： 市政府金融办、市发展改革委、市工业和信息化局、市商务局、市文旅广电局、市交通运输局等）</w:t>
      </w:r>
    </w:p>
    <w:p>
      <w:pPr>
        <w:pStyle w:val="3"/>
        <w:spacing w:before="39" w:line="338" w:lineRule="auto"/>
        <w:ind w:left="253" w:right="87" w:firstLine="515"/>
        <w:rPr>
          <w:lang w:eastAsia="zh-CN"/>
        </w:rPr>
      </w:pPr>
      <w:r>
        <w:rPr>
          <w:color w:val="231F20"/>
          <w:lang w:eastAsia="zh-CN"/>
        </w:rPr>
        <w:t>（十） 降低企业融资成本。继续推动金融机构落实减费让利政策， 杜绝变相收费、隐形收费、收费应降未降等情况。加大</w:t>
      </w:r>
    </w:p>
    <w:p>
      <w:pPr>
        <w:pStyle w:val="3"/>
        <w:spacing w:before="39" w:line="338" w:lineRule="auto"/>
        <w:ind w:left="253" w:right="248" w:hanging="112"/>
        <w:jc w:val="both"/>
        <w:rPr>
          <w:lang w:eastAsia="zh-CN"/>
        </w:rPr>
      </w:pPr>
      <w:r>
        <w:rPr>
          <w:color w:val="231F20"/>
          <w:lang w:eastAsia="zh-CN"/>
        </w:rPr>
        <w:t>《长沙市发展和改革委员会关于印发〈关于给予疫情期间受困企业贷款贴息支持的工作方案〉 的通知》（长发改信财 〔</w:t>
      </w:r>
      <w:r>
        <w:rPr>
          <w:rFonts w:ascii="Times New Roman" w:eastAsia="Times New Roman"/>
          <w:color w:val="231F20"/>
          <w:lang w:eastAsia="zh-CN"/>
        </w:rPr>
        <w:t>2022</w:t>
      </w:r>
      <w:r>
        <w:rPr>
          <w:color w:val="231F20"/>
          <w:lang w:eastAsia="zh-CN"/>
        </w:rPr>
        <w:t xml:space="preserve">〕 </w:t>
      </w:r>
      <w:r>
        <w:rPr>
          <w:rFonts w:ascii="Times New Roman" w:eastAsia="Times New Roman"/>
          <w:color w:val="231F20"/>
          <w:lang w:eastAsia="zh-CN"/>
        </w:rPr>
        <w:t xml:space="preserve">6 </w:t>
      </w:r>
      <w:r>
        <w:rPr>
          <w:color w:val="231F20"/>
          <w:lang w:eastAsia="zh-CN"/>
        </w:rPr>
        <w:t>号） 等现有支持政策的实施力度，切实降低企业融资成本。鼓励符合条件的企业发行公司信用类债券，推广以信息共享为基础的</w:t>
      </w:r>
    </w:p>
    <w:p>
      <w:pPr>
        <w:pStyle w:val="3"/>
        <w:spacing w:before="39" w:line="338" w:lineRule="auto"/>
        <w:ind w:left="253" w:right="87" w:hanging="150"/>
        <w:rPr>
          <w:lang w:eastAsia="zh-CN"/>
        </w:rPr>
      </w:pPr>
      <w:r>
        <w:rPr>
          <w:color w:val="231F20"/>
          <w:lang w:eastAsia="zh-CN"/>
        </w:rPr>
        <w:t>“ 信易贷” 模式。（责任单位： 市发展改革委、市政府金融办、市财政局、人民银行长沙中心支行、长沙银行、长沙农村商业银行、湖南湘江新区农村商业银行等）</w:t>
      </w:r>
    </w:p>
    <w:p>
      <w:pPr>
        <w:pStyle w:val="3"/>
        <w:spacing w:before="35"/>
        <w:ind w:left="873"/>
        <w:rPr>
          <w:rFonts w:ascii="方正黑体_GBK" w:eastAsia="方正黑体_GBK"/>
          <w:lang w:eastAsia="zh-CN"/>
        </w:rPr>
      </w:pPr>
      <w:r>
        <w:rPr>
          <w:rFonts w:hint="eastAsia" w:ascii="方正黑体_GBK" w:eastAsia="方正黑体_GBK"/>
          <w:color w:val="231F20"/>
          <w:lang w:eastAsia="zh-CN"/>
        </w:rPr>
        <w:t>二、制造业纾困政策</w:t>
      </w:r>
    </w:p>
    <w:p>
      <w:pPr>
        <w:pStyle w:val="3"/>
        <w:spacing w:before="178" w:line="338" w:lineRule="auto"/>
        <w:ind w:left="253" w:right="251" w:firstLine="515"/>
        <w:jc w:val="both"/>
        <w:rPr>
          <w:lang w:eastAsia="zh-CN"/>
        </w:rPr>
      </w:pPr>
      <w:r>
        <w:rPr>
          <w:color w:val="231F20"/>
          <w:lang w:eastAsia="zh-CN"/>
        </w:rPr>
        <w:t>（十一） 鼓励工业企业扩大排产生产。支持工业企业在守住疫情防控和安全生产底线的前提下，加大上半年排产力度，提高产能利用效率。鼓励大型企业通过产业纽带、聚集孵化、上下游配套、分工协作、开放应用场景等方式， 将中小企业纳入产业链、供应链体系，发布产品和服务采购计划，带动中小企业优化生产经营、提升产品质量。（责任单位： 市工业和信息化局、各区县市人民政府、各园区管委会等）</w:t>
      </w:r>
    </w:p>
    <w:p>
      <w:pPr>
        <w:pStyle w:val="3"/>
        <w:spacing w:before="39" w:line="338" w:lineRule="auto"/>
        <w:ind w:left="213" w:right="211" w:firstLine="515"/>
        <w:jc w:val="both"/>
        <w:rPr>
          <w:lang w:eastAsia="zh-CN"/>
        </w:rPr>
      </w:pPr>
      <w:r>
        <w:rPr>
          <w:color w:val="231F20"/>
          <w:spacing w:val="-17"/>
          <w:lang w:eastAsia="zh-CN"/>
        </w:rPr>
        <w:t>（</w:t>
      </w:r>
      <w:r>
        <w:rPr>
          <w:color w:val="231F20"/>
          <w:spacing w:val="5"/>
          <w:lang w:eastAsia="zh-CN"/>
        </w:rPr>
        <w:t>十二</w:t>
      </w:r>
      <w:r>
        <w:rPr>
          <w:color w:val="231F20"/>
          <w:lang w:eastAsia="zh-CN"/>
        </w:rPr>
        <w:t>）</w:t>
      </w:r>
      <w:r>
        <w:rPr>
          <w:color w:val="231F20"/>
          <w:spacing w:val="23"/>
          <w:lang w:eastAsia="zh-CN"/>
        </w:rPr>
        <w:t xml:space="preserve"> 全力支持企业扩大投资。落实《长沙市人民政府办</w:t>
      </w:r>
      <w:r>
        <w:rPr>
          <w:color w:val="231F20"/>
          <w:spacing w:val="30"/>
          <w:lang w:eastAsia="zh-CN"/>
        </w:rPr>
        <w:t>公厅关于印发长沙市推动先进制造业高质量发展若干政策的通</w:t>
      </w:r>
      <w:r>
        <w:rPr>
          <w:color w:val="231F20"/>
          <w:spacing w:val="-25"/>
          <w:lang w:eastAsia="zh-CN"/>
        </w:rPr>
        <w:t>知》</w:t>
      </w:r>
      <w:r>
        <w:rPr>
          <w:color w:val="231F20"/>
          <w:spacing w:val="-18"/>
          <w:lang w:eastAsia="zh-CN"/>
        </w:rPr>
        <w:t>（</w:t>
      </w:r>
      <w:r>
        <w:rPr>
          <w:color w:val="231F20"/>
          <w:spacing w:val="2"/>
          <w:lang w:eastAsia="zh-CN"/>
        </w:rPr>
        <w:t>长政办发 〔</w:t>
      </w:r>
      <w:r>
        <w:rPr>
          <w:rFonts w:ascii="Times New Roman" w:hAnsi="Times New Roman" w:eastAsia="Times New Roman"/>
          <w:color w:val="231F20"/>
          <w:spacing w:val="-5"/>
          <w:lang w:eastAsia="zh-CN"/>
        </w:rPr>
        <w:t>2021</w:t>
      </w:r>
      <w:r>
        <w:rPr>
          <w:color w:val="231F20"/>
          <w:spacing w:val="-14"/>
          <w:lang w:eastAsia="zh-CN"/>
        </w:rPr>
        <w:t xml:space="preserve">〕 </w:t>
      </w:r>
      <w:r>
        <w:rPr>
          <w:rFonts w:ascii="Times New Roman" w:hAnsi="Times New Roman" w:eastAsia="Times New Roman"/>
          <w:color w:val="231F20"/>
          <w:lang w:eastAsia="zh-CN"/>
        </w:rPr>
        <w:t xml:space="preserve">10 </w:t>
      </w:r>
      <w:r>
        <w:rPr>
          <w:color w:val="231F20"/>
          <w:spacing w:val="-18"/>
          <w:lang w:eastAsia="zh-CN"/>
        </w:rPr>
        <w:t>号</w:t>
      </w:r>
      <w:r>
        <w:rPr>
          <w:color w:val="231F20"/>
          <w:lang w:eastAsia="zh-CN"/>
        </w:rPr>
        <w:t>）</w:t>
      </w:r>
      <w:r>
        <w:rPr>
          <w:color w:val="231F20"/>
          <w:spacing w:val="15"/>
          <w:lang w:eastAsia="zh-CN"/>
        </w:rPr>
        <w:t xml:space="preserve"> 中相关技改支持政策。对重大招</w:t>
      </w:r>
      <w:r>
        <w:rPr>
          <w:color w:val="231F20"/>
          <w:spacing w:val="20"/>
          <w:lang w:eastAsia="zh-CN"/>
        </w:rPr>
        <w:t>商引资项目和重大扩能扩产项目，可采取“一事一议”方式予以</w:t>
      </w:r>
      <w:r>
        <w:rPr>
          <w:color w:val="231F20"/>
          <w:spacing w:val="-8"/>
          <w:lang w:eastAsia="zh-CN"/>
        </w:rPr>
        <w:t>支持。</w:t>
      </w:r>
      <w:r>
        <w:rPr>
          <w:color w:val="231F20"/>
          <w:spacing w:val="-18"/>
          <w:lang w:eastAsia="zh-CN"/>
        </w:rPr>
        <w:t>（</w:t>
      </w:r>
      <w:r>
        <w:rPr>
          <w:color w:val="231F20"/>
          <w:spacing w:val="16"/>
          <w:lang w:eastAsia="zh-CN"/>
        </w:rPr>
        <w:t>责任单位： 市工业和信息化局、市财政局、各区县市人</w:t>
      </w:r>
      <w:r>
        <w:rPr>
          <w:color w:val="231F20"/>
          <w:spacing w:val="15"/>
          <w:lang w:eastAsia="zh-CN"/>
        </w:rPr>
        <w:t>民政府、各园区管委会等</w:t>
      </w:r>
      <w:r>
        <w:rPr>
          <w:color w:val="231F20"/>
          <w:lang w:eastAsia="zh-CN"/>
        </w:rPr>
        <w:t>）</w:t>
      </w:r>
    </w:p>
    <w:p>
      <w:pPr>
        <w:pStyle w:val="3"/>
        <w:spacing w:before="39"/>
        <w:ind w:left="728"/>
        <w:rPr>
          <w:lang w:eastAsia="zh-CN"/>
        </w:rPr>
      </w:pPr>
      <w:r>
        <w:rPr>
          <w:color w:val="231F20"/>
          <w:lang w:eastAsia="zh-CN"/>
        </w:rPr>
        <w:t>（十三） 继续发挥汽车产业政策红利。根据市发展改革委等</w:t>
      </w:r>
    </w:p>
    <w:p>
      <w:pPr>
        <w:pStyle w:val="3"/>
        <w:spacing w:before="173"/>
        <w:ind w:left="213"/>
        <w:jc w:val="both"/>
        <w:rPr>
          <w:lang w:eastAsia="zh-CN"/>
        </w:rPr>
      </w:pPr>
      <w:r>
        <w:rPr>
          <w:rFonts w:ascii="Times New Roman" w:eastAsia="Times New Roman"/>
          <w:color w:val="231F20"/>
          <w:lang w:eastAsia="zh-CN"/>
        </w:rPr>
        <w:t xml:space="preserve">11  </w:t>
      </w:r>
      <w:r>
        <w:rPr>
          <w:color w:val="231F20"/>
          <w:lang w:eastAsia="zh-CN"/>
        </w:rPr>
        <w:t>部门联合印发的 《关于促进汽车产业健康发展的实施意见》</w:t>
      </w:r>
    </w:p>
    <w:p>
      <w:pPr>
        <w:pStyle w:val="3"/>
        <w:spacing w:before="173" w:line="338" w:lineRule="auto"/>
        <w:ind w:left="213" w:right="211" w:hanging="105"/>
        <w:jc w:val="both"/>
        <w:rPr>
          <w:lang w:eastAsia="zh-CN"/>
        </w:rPr>
      </w:pPr>
      <w:r>
        <w:rPr>
          <w:color w:val="231F20"/>
          <w:spacing w:val="-12"/>
          <w:lang w:eastAsia="zh-CN"/>
        </w:rPr>
        <w:t>（</w:t>
      </w:r>
      <w:r>
        <w:rPr>
          <w:color w:val="231F20"/>
          <w:spacing w:val="11"/>
          <w:lang w:eastAsia="zh-CN"/>
        </w:rPr>
        <w:t>长发改工业 〔</w:t>
      </w:r>
      <w:r>
        <w:rPr>
          <w:rFonts w:ascii="Times New Roman" w:eastAsia="Times New Roman"/>
          <w:color w:val="231F20"/>
          <w:spacing w:val="-5"/>
          <w:lang w:eastAsia="zh-CN"/>
        </w:rPr>
        <w:t>2021</w:t>
      </w:r>
      <w:r>
        <w:rPr>
          <w:color w:val="231F20"/>
          <w:spacing w:val="-11"/>
          <w:lang w:eastAsia="zh-CN"/>
        </w:rPr>
        <w:t xml:space="preserve">〕 </w:t>
      </w:r>
      <w:r>
        <w:rPr>
          <w:rFonts w:ascii="Times New Roman" w:eastAsia="Times New Roman"/>
          <w:color w:val="231F20"/>
          <w:lang w:eastAsia="zh-CN"/>
        </w:rPr>
        <w:t xml:space="preserve">238 </w:t>
      </w:r>
      <w:r>
        <w:rPr>
          <w:color w:val="231F20"/>
          <w:spacing w:val="-12"/>
          <w:lang w:eastAsia="zh-CN"/>
        </w:rPr>
        <w:t>号</w:t>
      </w:r>
      <w:r>
        <w:rPr>
          <w:color w:val="231F20"/>
          <w:spacing w:val="-36"/>
          <w:lang w:eastAsia="zh-CN"/>
        </w:rPr>
        <w:t>）</w:t>
      </w:r>
      <w:r>
        <w:rPr>
          <w:color w:val="231F20"/>
          <w:spacing w:val="-14"/>
          <w:lang w:eastAsia="zh-CN"/>
        </w:rPr>
        <w:t xml:space="preserve">， 各区县 </w:t>
      </w:r>
      <w:r>
        <w:rPr>
          <w:color w:val="231F20"/>
          <w:spacing w:val="-12"/>
          <w:lang w:eastAsia="zh-CN"/>
        </w:rPr>
        <w:t>（市</w:t>
      </w:r>
      <w:r>
        <w:rPr>
          <w:color w:val="231F20"/>
          <w:spacing w:val="-71"/>
          <w:lang w:eastAsia="zh-CN"/>
        </w:rPr>
        <w:t>）</w:t>
      </w:r>
      <w:r>
        <w:rPr>
          <w:color w:val="231F20"/>
          <w:spacing w:val="27"/>
          <w:lang w:eastAsia="zh-CN"/>
        </w:rPr>
        <w:t>、园区加紧出台细</w:t>
      </w:r>
      <w:r>
        <w:rPr>
          <w:color w:val="231F20"/>
          <w:spacing w:val="10"/>
          <w:lang w:eastAsia="zh-CN"/>
        </w:rPr>
        <w:t>化落实政策措施， 帮助汽车企业缓解压力。</w:t>
      </w:r>
      <w:r>
        <w:rPr>
          <w:color w:val="231F20"/>
          <w:spacing w:val="-18"/>
          <w:lang w:eastAsia="zh-CN"/>
        </w:rPr>
        <w:t>（</w:t>
      </w:r>
      <w:r>
        <w:rPr>
          <w:color w:val="231F20"/>
          <w:spacing w:val="10"/>
          <w:lang w:eastAsia="zh-CN"/>
        </w:rPr>
        <w:t>责任单位： 市发展</w:t>
      </w:r>
      <w:r>
        <w:rPr>
          <w:color w:val="231F20"/>
          <w:spacing w:val="20"/>
          <w:lang w:eastAsia="zh-CN"/>
        </w:rPr>
        <w:t>改革委、市工业和信息化局、市商务局、各区县市人民政府、各</w:t>
      </w:r>
      <w:r>
        <w:rPr>
          <w:color w:val="231F20"/>
          <w:spacing w:val="12"/>
          <w:lang w:eastAsia="zh-CN"/>
        </w:rPr>
        <w:t>园区管委会等</w:t>
      </w:r>
      <w:r>
        <w:rPr>
          <w:color w:val="231F20"/>
          <w:lang w:eastAsia="zh-CN"/>
        </w:rPr>
        <w:t>）</w:t>
      </w:r>
    </w:p>
    <w:p>
      <w:pPr>
        <w:pStyle w:val="3"/>
        <w:spacing w:before="34"/>
        <w:ind w:left="833"/>
        <w:rPr>
          <w:rFonts w:ascii="方正黑体_GBK" w:eastAsia="方正黑体_GBK"/>
          <w:lang w:eastAsia="zh-CN"/>
        </w:rPr>
      </w:pPr>
      <w:r>
        <w:rPr>
          <w:rFonts w:hint="eastAsia" w:ascii="方正黑体_GBK" w:eastAsia="方正黑体_GBK"/>
          <w:color w:val="231F20"/>
          <w:lang w:eastAsia="zh-CN"/>
        </w:rPr>
        <w:t>三、餐饮业、批发零售业纾困政策</w:t>
      </w:r>
    </w:p>
    <w:p>
      <w:pPr>
        <w:pStyle w:val="3"/>
        <w:spacing w:before="177" w:line="338" w:lineRule="auto"/>
        <w:ind w:left="213" w:right="211" w:firstLine="515"/>
        <w:jc w:val="both"/>
        <w:rPr>
          <w:sz w:val="26"/>
          <w:lang w:eastAsia="zh-CN"/>
        </w:rPr>
      </w:pPr>
      <w:r>
        <w:rPr>
          <w:color w:val="231F20"/>
          <w:lang w:eastAsia="zh-CN"/>
        </w:rPr>
        <w:t>（十四） 开展各类促消费活动。鼓励各企事业单位、平台公司等第三方机构配套资金与市直相关部门、各区县 （市） 人民政府合作，以节假日为契机，以发放消费券或其他创新方式，开展各类线上线下相结合的促消费活动。支持通过提前发放工会福利等形式撬动消费。（责任单位： 市商务局、市总工会、各区县市人民政府等）</w:t>
      </w:r>
    </w:p>
    <w:p>
      <w:pPr>
        <w:pStyle w:val="3"/>
        <w:spacing w:before="3" w:line="338" w:lineRule="auto"/>
        <w:ind w:left="113" w:right="111" w:firstLine="515"/>
        <w:jc w:val="both"/>
        <w:rPr>
          <w:lang w:eastAsia="zh-CN"/>
        </w:rPr>
      </w:pPr>
      <w:r>
        <w:rPr>
          <w:color w:val="231F20"/>
          <w:lang w:eastAsia="zh-CN"/>
        </w:rPr>
        <w:t>（十五） 开展老年人助餐服务。积极支持街道社区养老服务设施为老年人提供助餐服务，对提供老年人助餐服务的餐饮企业给予适当扶持， 不得强制餐饮企业给予配套优惠措施。（责任单位：市民政局、市商务局等）</w:t>
      </w:r>
    </w:p>
    <w:p>
      <w:pPr>
        <w:pStyle w:val="3"/>
        <w:spacing w:before="39" w:line="338" w:lineRule="auto"/>
        <w:ind w:left="113" w:right="111" w:firstLine="515"/>
        <w:jc w:val="both"/>
        <w:rPr>
          <w:lang w:eastAsia="zh-CN"/>
        </w:rPr>
      </w:pPr>
      <w:r>
        <w:rPr>
          <w:color w:val="231F20"/>
          <w:lang w:eastAsia="zh-CN"/>
        </w:rPr>
        <w:t>（十六） 推进商贸流通企业发展。对疫情防控期间做好全市保供工作、保持生活必需品价格稳定、作出突出贡献的批发市场、商超及连锁便利店等重点企业给予适当支持。对抗击疫情表现突出的行业协会商会、商贸流通企业等相关组织和单位给予适当支持。（责任单位： 市商务局、市工业和信息化局、各区县市人民政府等）</w:t>
      </w:r>
    </w:p>
    <w:p>
      <w:pPr>
        <w:pStyle w:val="3"/>
        <w:spacing w:before="35"/>
        <w:ind w:left="733"/>
        <w:rPr>
          <w:rFonts w:ascii="方正黑体_GBK" w:eastAsia="方正黑体_GBK"/>
          <w:lang w:eastAsia="zh-CN"/>
        </w:rPr>
      </w:pPr>
      <w:r>
        <w:rPr>
          <w:rFonts w:hint="eastAsia" w:ascii="方正黑体_GBK" w:eastAsia="方正黑体_GBK"/>
          <w:color w:val="231F20"/>
          <w:lang w:eastAsia="zh-CN"/>
        </w:rPr>
        <w:t>四、文化旅游业纾困政策</w:t>
      </w:r>
    </w:p>
    <w:p>
      <w:pPr>
        <w:pStyle w:val="3"/>
        <w:spacing w:before="178" w:line="338" w:lineRule="auto"/>
        <w:ind w:left="113" w:right="111" w:firstLine="515"/>
        <w:jc w:val="both"/>
        <w:rPr>
          <w:lang w:eastAsia="zh-CN"/>
        </w:rPr>
      </w:pPr>
      <w:r>
        <w:rPr>
          <w:color w:val="231F20"/>
          <w:lang w:eastAsia="zh-CN"/>
        </w:rPr>
        <w:t>（十七） 暂退旅行社全部质保金。更大力度实施旅行社暂退旅游服务质量保证金政策，对符合条件旅行社的暂退比例提高到</w:t>
      </w:r>
    </w:p>
    <w:p>
      <w:pPr>
        <w:pStyle w:val="3"/>
        <w:spacing w:before="40" w:line="338" w:lineRule="auto"/>
        <w:ind w:left="113" w:right="111"/>
        <w:jc w:val="both"/>
        <w:rPr>
          <w:lang w:eastAsia="zh-CN"/>
        </w:rPr>
      </w:pPr>
      <w:r>
        <w:rPr>
          <w:rFonts w:ascii="Times New Roman" w:eastAsia="Times New Roman"/>
          <w:color w:val="231F20"/>
          <w:lang w:eastAsia="zh-CN"/>
        </w:rPr>
        <w:t>100%</w:t>
      </w:r>
      <w:r>
        <w:rPr>
          <w:color w:val="231F20"/>
          <w:lang w:eastAsia="zh-CN"/>
        </w:rPr>
        <w:t>。加快推进以保险替代保证金试点工作， 扩大保险代替保证金试点范围。（责任单位： 市文旅广电局、各区县市人民政府等）</w:t>
      </w:r>
    </w:p>
    <w:p>
      <w:pPr>
        <w:pStyle w:val="3"/>
        <w:spacing w:before="40" w:line="338" w:lineRule="auto"/>
        <w:ind w:left="113" w:right="111" w:firstLine="515"/>
        <w:jc w:val="both"/>
        <w:rPr>
          <w:sz w:val="26"/>
          <w:lang w:eastAsia="zh-CN"/>
        </w:rPr>
      </w:pPr>
      <w:r>
        <w:rPr>
          <w:color w:val="231F20"/>
          <w:lang w:eastAsia="zh-CN"/>
        </w:rPr>
        <w:t>（十八） 文旅行业各协会对受疫情影响缴纳会费确有困难的会员单位企业实行会费免收。免收部分由市文旅部门从专项资金中予以适当安排，用于维持协会日常运转开支。支持互联网平台企业对经营困难的文化旅游商户实施特惠扶持政策，鼓励各运营商减免互联网上网服务营业场所宽带接入费。（责任单位： 市文旅广电局等）</w:t>
      </w:r>
    </w:p>
    <w:p>
      <w:pPr>
        <w:pStyle w:val="3"/>
        <w:spacing w:before="3" w:line="338" w:lineRule="auto"/>
        <w:ind w:left="113" w:right="251" w:firstLine="515"/>
        <w:jc w:val="both"/>
        <w:rPr>
          <w:lang w:eastAsia="zh-CN"/>
        </w:rPr>
      </w:pPr>
      <w:r>
        <w:rPr>
          <w:color w:val="231F20"/>
          <w:lang w:eastAsia="zh-CN"/>
        </w:rPr>
        <w:t xml:space="preserve">（十九） 降低文旅企业租金成本。承租国有企事业单位经营性房屋、土地、资产经营权的文化旅游企业，因疫情影响缴纳租金确有困难的，该文化旅游企业为小微企业或疫情期间无法营业的非小微企业， 免除 </w:t>
      </w:r>
      <w:r>
        <w:rPr>
          <w:rFonts w:ascii="Times New Roman" w:eastAsia="Times New Roman"/>
          <w:color w:val="231F20"/>
          <w:lang w:eastAsia="zh-CN"/>
        </w:rPr>
        <w:t xml:space="preserve">3 </w:t>
      </w:r>
      <w:r>
        <w:rPr>
          <w:color w:val="231F20"/>
          <w:lang w:eastAsia="zh-CN"/>
        </w:rPr>
        <w:t xml:space="preserve">个月租金， 被列为疫情中高风险地区的免除 </w:t>
      </w:r>
      <w:r>
        <w:rPr>
          <w:rFonts w:ascii="Times New Roman" w:eastAsia="Times New Roman"/>
          <w:color w:val="231F20"/>
          <w:lang w:eastAsia="zh-CN"/>
        </w:rPr>
        <w:t xml:space="preserve">6 </w:t>
      </w:r>
      <w:r>
        <w:rPr>
          <w:color w:val="231F20"/>
          <w:lang w:eastAsia="zh-CN"/>
        </w:rPr>
        <w:t>个月租金。（责任单位： 市国资委、市文旅广电局、各区县市人民政府、各园区管委会等）</w:t>
      </w:r>
    </w:p>
    <w:p>
      <w:pPr>
        <w:pStyle w:val="3"/>
        <w:spacing w:before="39" w:line="338" w:lineRule="auto"/>
        <w:ind w:left="113" w:right="251" w:firstLine="515"/>
        <w:jc w:val="both"/>
        <w:rPr>
          <w:lang w:eastAsia="zh-CN"/>
        </w:rPr>
      </w:pPr>
      <w:r>
        <w:rPr>
          <w:color w:val="231F20"/>
          <w:lang w:eastAsia="zh-CN"/>
        </w:rPr>
        <w:t xml:space="preserve">（二十） 对展会项目给予支持。对于受疫情影响， 延期举办的展会项目， 按照不超过实际缴纳场租费用 </w:t>
      </w:r>
      <w:r>
        <w:rPr>
          <w:rFonts w:ascii="Times New Roman" w:eastAsia="Times New Roman"/>
          <w:color w:val="231F20"/>
          <w:lang w:eastAsia="zh-CN"/>
        </w:rPr>
        <w:t xml:space="preserve">50% </w:t>
      </w:r>
      <w:r>
        <w:rPr>
          <w:color w:val="231F20"/>
          <w:lang w:eastAsia="zh-CN"/>
        </w:rPr>
        <w:t xml:space="preserve">的标准给予支持， 补助金额不超过 </w:t>
      </w:r>
      <w:r>
        <w:rPr>
          <w:rFonts w:ascii="Times New Roman" w:eastAsia="Times New Roman"/>
          <w:color w:val="231F20"/>
          <w:lang w:eastAsia="zh-CN"/>
        </w:rPr>
        <w:t xml:space="preserve">50 </w:t>
      </w:r>
      <w:r>
        <w:rPr>
          <w:color w:val="231F20"/>
          <w:lang w:eastAsia="zh-CN"/>
        </w:rPr>
        <w:t>万元。（责任单位： 市会展办、市财政局等）</w:t>
      </w:r>
    </w:p>
    <w:p>
      <w:pPr>
        <w:pStyle w:val="3"/>
        <w:spacing w:before="39" w:line="338" w:lineRule="auto"/>
        <w:ind w:left="113" w:right="87" w:firstLine="515"/>
        <w:rPr>
          <w:lang w:eastAsia="zh-CN"/>
        </w:rPr>
      </w:pPr>
      <w:r>
        <w:rPr>
          <w:color w:val="231F20"/>
          <w:lang w:eastAsia="zh-CN"/>
        </w:rPr>
        <w:t>（二十一） 支持旅行社拓展业务。鼓励各级党政机关、企事业单位、社会团体组织的党建活动、</w:t>
      </w:r>
      <w:r>
        <w:rPr>
          <w:rFonts w:hint="eastAsia"/>
          <w:color w:val="231F20"/>
          <w:lang w:eastAsia="zh-CN"/>
        </w:rPr>
        <w:t>党史学习教育</w:t>
      </w:r>
      <w:r>
        <w:rPr>
          <w:color w:val="231F20"/>
          <w:lang w:eastAsia="zh-CN"/>
        </w:rPr>
        <w:t>、工会活动、会议会展活动、商务活动、外出考察等，可按规定委托旅行社代理安排交通、住宿、餐饮、会务等服务事项，旅行社可按规定开具普通发票作为费用报销依据。支持符合条件的旅行社及相关运营机构等承接研学服务业务。（责任单位： 市文旅广电局、市财政局、市总工会、各区县市人民政府等）</w:t>
      </w:r>
    </w:p>
    <w:p>
      <w:pPr>
        <w:pStyle w:val="3"/>
        <w:spacing w:before="39" w:line="338" w:lineRule="auto"/>
        <w:ind w:left="113" w:right="88" w:firstLine="515"/>
        <w:rPr>
          <w:lang w:eastAsia="zh-CN"/>
        </w:rPr>
      </w:pPr>
      <w:r>
        <w:rPr>
          <w:color w:val="231F20"/>
          <w:spacing w:val="-19"/>
          <w:lang w:eastAsia="zh-CN"/>
        </w:rPr>
        <w:t>（</w:t>
      </w:r>
      <w:r>
        <w:rPr>
          <w:color w:val="231F20"/>
          <w:spacing w:val="10"/>
          <w:lang w:eastAsia="zh-CN"/>
        </w:rPr>
        <w:t>二十二</w:t>
      </w:r>
      <w:r>
        <w:rPr>
          <w:color w:val="231F20"/>
          <w:lang w:eastAsia="zh-CN"/>
        </w:rPr>
        <w:t>）</w:t>
      </w:r>
      <w:r>
        <w:rPr>
          <w:color w:val="231F20"/>
          <w:spacing w:val="8"/>
          <w:lang w:eastAsia="zh-CN"/>
        </w:rPr>
        <w:t xml:space="preserve"> 加大品牌创建扶持奖励。对 </w:t>
      </w:r>
      <w:r>
        <w:rPr>
          <w:rFonts w:ascii="Times New Roman" w:eastAsia="Times New Roman"/>
          <w:color w:val="231F20"/>
          <w:lang w:eastAsia="zh-CN"/>
        </w:rPr>
        <w:t xml:space="preserve">2022 </w:t>
      </w:r>
      <w:r>
        <w:rPr>
          <w:color w:val="231F20"/>
          <w:spacing w:val="20"/>
          <w:lang w:eastAsia="zh-CN"/>
        </w:rPr>
        <w:t>年新创建的世界</w:t>
      </w:r>
      <w:r>
        <w:rPr>
          <w:color w:val="231F20"/>
          <w:spacing w:val="28"/>
          <w:lang w:eastAsia="zh-CN"/>
        </w:rPr>
        <w:t xml:space="preserve">级旅游景区 </w:t>
      </w:r>
      <w:r>
        <w:rPr>
          <w:color w:val="231F20"/>
          <w:spacing w:val="-13"/>
          <w:lang w:eastAsia="zh-CN"/>
        </w:rPr>
        <w:t>（</w:t>
      </w:r>
      <w:r>
        <w:rPr>
          <w:color w:val="231F20"/>
          <w:spacing w:val="16"/>
          <w:lang w:eastAsia="zh-CN"/>
        </w:rPr>
        <w:t>度假区</w:t>
      </w:r>
      <w:r>
        <w:rPr>
          <w:color w:val="231F20"/>
          <w:spacing w:val="-71"/>
          <w:lang w:eastAsia="zh-CN"/>
        </w:rPr>
        <w:t>）</w:t>
      </w:r>
      <w:r>
        <w:rPr>
          <w:color w:val="231F20"/>
          <w:spacing w:val="30"/>
          <w:lang w:eastAsia="zh-CN"/>
        </w:rPr>
        <w:t>、国家级旅游度假区、生态旅游示范区、</w:t>
      </w:r>
      <w:r>
        <w:rPr>
          <w:color w:val="231F20"/>
          <w:spacing w:val="17"/>
          <w:lang w:eastAsia="zh-CN"/>
        </w:rPr>
        <w:t xml:space="preserve">文化产业示范园区 </w:t>
      </w:r>
      <w:r>
        <w:rPr>
          <w:color w:val="231F20"/>
          <w:spacing w:val="-18"/>
          <w:lang w:eastAsia="zh-CN"/>
        </w:rPr>
        <w:t>（</w:t>
      </w:r>
      <w:r>
        <w:rPr>
          <w:color w:val="231F20"/>
          <w:spacing w:val="3"/>
          <w:lang w:eastAsia="zh-CN"/>
        </w:rPr>
        <w:t>基地</w:t>
      </w:r>
      <w:r>
        <w:rPr>
          <w:color w:val="231F20"/>
          <w:spacing w:val="-77"/>
          <w:lang w:eastAsia="zh-CN"/>
        </w:rPr>
        <w:t>）</w:t>
      </w:r>
      <w:r>
        <w:rPr>
          <w:color w:val="231F20"/>
          <w:spacing w:val="25"/>
          <w:lang w:eastAsia="zh-CN"/>
        </w:rPr>
        <w:t>、夜间文化和旅游消费集聚区、文化</w:t>
      </w:r>
      <w:r>
        <w:rPr>
          <w:color w:val="231F20"/>
          <w:spacing w:val="30"/>
          <w:lang w:eastAsia="zh-CN"/>
        </w:rPr>
        <w:t>产业和旅游产业融合发展示范区、旅游休闲街区、</w:t>
      </w:r>
      <w:r>
        <w:rPr>
          <w:rFonts w:ascii="Times New Roman" w:eastAsia="Times New Roman"/>
          <w:color w:val="231F20"/>
          <w:lang w:eastAsia="zh-CN"/>
        </w:rPr>
        <w:t xml:space="preserve">5A </w:t>
      </w:r>
      <w:r>
        <w:rPr>
          <w:color w:val="231F20"/>
          <w:spacing w:val="21"/>
          <w:lang w:eastAsia="zh-CN"/>
        </w:rPr>
        <w:t>级旅游景</w:t>
      </w:r>
      <w:r>
        <w:rPr>
          <w:color w:val="231F20"/>
          <w:spacing w:val="22"/>
          <w:lang w:eastAsia="zh-CN"/>
        </w:rPr>
        <w:t xml:space="preserve">区、乡村旅游重点村镇给予 </w:t>
      </w:r>
      <w:r>
        <w:rPr>
          <w:rFonts w:ascii="Times New Roman" w:eastAsia="Times New Roman"/>
          <w:color w:val="231F20"/>
          <w:lang w:eastAsia="zh-CN"/>
        </w:rPr>
        <w:t xml:space="preserve">20~200 </w:t>
      </w:r>
      <w:r>
        <w:rPr>
          <w:color w:val="231F20"/>
          <w:spacing w:val="20"/>
          <w:lang w:eastAsia="zh-CN"/>
        </w:rPr>
        <w:t xml:space="preserve">万元不等的奖励。对 </w:t>
      </w:r>
      <w:r>
        <w:rPr>
          <w:rFonts w:ascii="Times New Roman" w:eastAsia="Times New Roman"/>
          <w:color w:val="231F20"/>
          <w:lang w:eastAsia="zh-CN"/>
        </w:rPr>
        <w:t xml:space="preserve">2022 </w:t>
      </w:r>
      <w:r>
        <w:rPr>
          <w:color w:val="231F20"/>
          <w:lang w:eastAsia="zh-CN"/>
        </w:rPr>
        <w:t>年</w:t>
      </w:r>
      <w:r>
        <w:rPr>
          <w:color w:val="231F20"/>
          <w:spacing w:val="31"/>
          <w:lang w:eastAsia="zh-CN"/>
        </w:rPr>
        <w:t xml:space="preserve">新创建评定的 </w:t>
      </w:r>
      <w:r>
        <w:rPr>
          <w:rFonts w:ascii="Times New Roman" w:eastAsia="Times New Roman"/>
          <w:color w:val="231F20"/>
          <w:lang w:eastAsia="zh-CN"/>
        </w:rPr>
        <w:t xml:space="preserve">A </w:t>
      </w:r>
      <w:r>
        <w:rPr>
          <w:color w:val="231F20"/>
          <w:spacing w:val="40"/>
          <w:lang w:eastAsia="zh-CN"/>
        </w:rPr>
        <w:t xml:space="preserve">级旅游景区、旅游星级饭店 </w:t>
      </w:r>
      <w:r>
        <w:rPr>
          <w:color w:val="231F20"/>
          <w:lang w:eastAsia="zh-CN"/>
        </w:rPr>
        <w:t>（</w:t>
      </w:r>
      <w:r>
        <w:rPr>
          <w:color w:val="231F20"/>
          <w:spacing w:val="38"/>
          <w:lang w:eastAsia="zh-CN"/>
        </w:rPr>
        <w:t>含绿色旅游饭</w:t>
      </w:r>
      <w:r>
        <w:rPr>
          <w:color w:val="231F20"/>
          <w:spacing w:val="-13"/>
          <w:lang w:eastAsia="zh-CN"/>
        </w:rPr>
        <w:t>店</w:t>
      </w:r>
      <w:r>
        <w:rPr>
          <w:color w:val="231F20"/>
          <w:spacing w:val="-71"/>
          <w:lang w:eastAsia="zh-CN"/>
        </w:rPr>
        <w:t>）</w:t>
      </w:r>
      <w:r>
        <w:rPr>
          <w:color w:val="231F20"/>
          <w:spacing w:val="30"/>
          <w:lang w:eastAsia="zh-CN"/>
        </w:rPr>
        <w:t xml:space="preserve">、星级旅行社、星级乡村旅游区 </w:t>
      </w:r>
      <w:r>
        <w:rPr>
          <w:color w:val="231F20"/>
          <w:spacing w:val="-13"/>
          <w:lang w:eastAsia="zh-CN"/>
        </w:rPr>
        <w:t>（点</w:t>
      </w:r>
      <w:r>
        <w:rPr>
          <w:color w:val="231F20"/>
          <w:spacing w:val="-71"/>
          <w:lang w:eastAsia="zh-CN"/>
        </w:rPr>
        <w:t>）</w:t>
      </w:r>
      <w:r>
        <w:rPr>
          <w:color w:val="231F20"/>
          <w:spacing w:val="27"/>
          <w:lang w:eastAsia="zh-CN"/>
        </w:rPr>
        <w:t>、等级旅游民宿、省</w:t>
      </w:r>
      <w:r>
        <w:rPr>
          <w:color w:val="231F20"/>
          <w:spacing w:val="20"/>
          <w:lang w:eastAsia="zh-CN"/>
        </w:rPr>
        <w:t xml:space="preserve">级工业旅游示范点给予 </w:t>
      </w:r>
      <w:r>
        <w:rPr>
          <w:rFonts w:ascii="Times New Roman" w:eastAsia="Times New Roman"/>
          <w:color w:val="231F20"/>
          <w:lang w:eastAsia="zh-CN"/>
        </w:rPr>
        <w:t xml:space="preserve">5~30 </w:t>
      </w:r>
      <w:r>
        <w:rPr>
          <w:color w:val="231F20"/>
          <w:spacing w:val="15"/>
          <w:lang w:eastAsia="zh-CN"/>
        </w:rPr>
        <w:t xml:space="preserve">万元奖励。对 </w:t>
      </w:r>
      <w:r>
        <w:rPr>
          <w:rFonts w:ascii="Times New Roman" w:eastAsia="Times New Roman"/>
          <w:color w:val="231F20"/>
          <w:lang w:eastAsia="zh-CN"/>
        </w:rPr>
        <w:t xml:space="preserve">2022 </w:t>
      </w:r>
      <w:r>
        <w:rPr>
          <w:color w:val="231F20"/>
          <w:spacing w:val="25"/>
          <w:lang w:eastAsia="zh-CN"/>
        </w:rPr>
        <w:t>年新评定的十佳</w:t>
      </w:r>
      <w:r>
        <w:rPr>
          <w:color w:val="231F20"/>
          <w:spacing w:val="12"/>
          <w:lang w:eastAsia="zh-CN"/>
        </w:rPr>
        <w:t xml:space="preserve">文旅企业给予 </w:t>
      </w:r>
      <w:r>
        <w:rPr>
          <w:rFonts w:ascii="Times New Roman" w:eastAsia="Times New Roman"/>
          <w:color w:val="231F20"/>
          <w:lang w:eastAsia="zh-CN"/>
        </w:rPr>
        <w:t xml:space="preserve">10 </w:t>
      </w:r>
      <w:r>
        <w:rPr>
          <w:color w:val="231F20"/>
          <w:spacing w:val="10"/>
          <w:lang w:eastAsia="zh-CN"/>
        </w:rPr>
        <w:t>万元资金支持。</w:t>
      </w:r>
      <w:r>
        <w:rPr>
          <w:color w:val="231F20"/>
          <w:spacing w:val="-21"/>
          <w:lang w:eastAsia="zh-CN"/>
        </w:rPr>
        <w:t>（</w:t>
      </w:r>
      <w:r>
        <w:rPr>
          <w:color w:val="231F20"/>
          <w:spacing w:val="10"/>
          <w:lang w:eastAsia="zh-CN"/>
        </w:rPr>
        <w:t>责任单位： 市文旅广电局、各</w:t>
      </w:r>
      <w:r>
        <w:rPr>
          <w:color w:val="231F20"/>
          <w:spacing w:val="15"/>
          <w:lang w:eastAsia="zh-CN"/>
        </w:rPr>
        <w:t>区县市人民政府等</w:t>
      </w:r>
      <w:r>
        <w:rPr>
          <w:color w:val="231F20"/>
          <w:lang w:eastAsia="zh-CN"/>
        </w:rPr>
        <w:t>）</w:t>
      </w:r>
    </w:p>
    <w:p>
      <w:pPr>
        <w:pStyle w:val="3"/>
        <w:spacing w:before="34"/>
        <w:ind w:left="833"/>
        <w:rPr>
          <w:rFonts w:ascii="方正黑体简体" w:eastAsia="方正黑体简体"/>
          <w:lang w:eastAsia="zh-CN"/>
        </w:rPr>
      </w:pPr>
      <w:r>
        <w:rPr>
          <w:rFonts w:hint="eastAsia" w:ascii="方正黑体简体" w:eastAsia="方正黑体简体"/>
          <w:color w:val="231F20"/>
          <w:lang w:eastAsia="zh-CN"/>
        </w:rPr>
        <w:t>五、交通运输及物流业纾困政策</w:t>
      </w:r>
    </w:p>
    <w:p>
      <w:pPr>
        <w:pStyle w:val="3"/>
        <w:spacing w:before="177" w:line="338" w:lineRule="auto"/>
        <w:ind w:left="213" w:right="251" w:firstLine="515"/>
        <w:jc w:val="both"/>
        <w:rPr>
          <w:lang w:eastAsia="zh-CN"/>
        </w:rPr>
      </w:pPr>
      <w:r>
        <w:rPr>
          <w:color w:val="231F20"/>
          <w:spacing w:val="-17"/>
          <w:lang w:eastAsia="zh-CN"/>
        </w:rPr>
        <w:t>（</w:t>
      </w:r>
      <w:r>
        <w:rPr>
          <w:color w:val="231F20"/>
          <w:spacing w:val="11"/>
          <w:lang w:eastAsia="zh-CN"/>
        </w:rPr>
        <w:t>二十三</w:t>
      </w:r>
      <w:r>
        <w:rPr>
          <w:color w:val="231F20"/>
          <w:lang w:eastAsia="zh-CN"/>
        </w:rPr>
        <w:t>）</w:t>
      </w:r>
      <w:r>
        <w:rPr>
          <w:color w:val="231F20"/>
          <w:spacing w:val="25"/>
          <w:lang w:eastAsia="zh-CN"/>
        </w:rPr>
        <w:t xml:space="preserve"> 加强金融支持力度。引导金融机构按市场化原则</w:t>
      </w:r>
      <w:r>
        <w:rPr>
          <w:color w:val="231F20"/>
          <w:spacing w:val="20"/>
          <w:lang w:eastAsia="zh-CN"/>
        </w:rPr>
        <w:t>对信用等级较高、承担疫情防控和应急运输任务较重的交通运输</w:t>
      </w:r>
      <w:r>
        <w:rPr>
          <w:color w:val="231F20"/>
          <w:spacing w:val="23"/>
          <w:lang w:eastAsia="zh-CN"/>
        </w:rPr>
        <w:t>企业加大融资支持力度， 主管部门及时向金融机构提供企业清</w:t>
      </w:r>
      <w:r>
        <w:rPr>
          <w:color w:val="231F20"/>
          <w:spacing w:val="-31"/>
          <w:lang w:eastAsia="zh-CN"/>
        </w:rPr>
        <w:t>单。</w:t>
      </w:r>
      <w:r>
        <w:rPr>
          <w:color w:val="231F20"/>
          <w:spacing w:val="-24"/>
          <w:lang w:eastAsia="zh-CN"/>
        </w:rPr>
        <w:t>（</w:t>
      </w:r>
      <w:r>
        <w:rPr>
          <w:color w:val="231F20"/>
          <w:spacing w:val="17"/>
          <w:lang w:eastAsia="zh-CN"/>
        </w:rPr>
        <w:t>责任单位：市政府金融办、市交通运输局等</w:t>
      </w:r>
      <w:r>
        <w:rPr>
          <w:color w:val="231F20"/>
          <w:lang w:eastAsia="zh-CN"/>
        </w:rPr>
        <w:t>）</w:t>
      </w:r>
    </w:p>
    <w:p>
      <w:pPr>
        <w:pStyle w:val="3"/>
        <w:spacing w:before="39" w:line="338" w:lineRule="auto"/>
        <w:ind w:left="213" w:right="251" w:firstLine="515"/>
        <w:jc w:val="both"/>
        <w:rPr>
          <w:lang w:eastAsia="zh-CN"/>
        </w:rPr>
      </w:pPr>
      <w:r>
        <w:rPr>
          <w:color w:val="231F20"/>
          <w:spacing w:val="-17"/>
          <w:lang w:eastAsia="zh-CN"/>
        </w:rPr>
        <w:t>（</w:t>
      </w:r>
      <w:r>
        <w:rPr>
          <w:color w:val="231F20"/>
          <w:spacing w:val="11"/>
          <w:lang w:eastAsia="zh-CN"/>
        </w:rPr>
        <w:t>二十四</w:t>
      </w:r>
      <w:r>
        <w:rPr>
          <w:color w:val="231F20"/>
          <w:lang w:eastAsia="zh-CN"/>
        </w:rPr>
        <w:t>）</w:t>
      </w:r>
      <w:r>
        <w:rPr>
          <w:color w:val="231F20"/>
          <w:spacing w:val="25"/>
          <w:lang w:eastAsia="zh-CN"/>
        </w:rPr>
        <w:t xml:space="preserve"> 提升重点领域精准识别能力。运用大数据技术手</w:t>
      </w:r>
      <w:r>
        <w:rPr>
          <w:color w:val="231F20"/>
          <w:spacing w:val="20"/>
          <w:lang w:eastAsia="zh-CN"/>
        </w:rPr>
        <w:t>段，并进一步开放卫健防疫信息相关数据接口，基于现有智慧交运平台拓展快递物流、交通运输人员数据库字段匹配分析，实施</w:t>
      </w:r>
      <w:r>
        <w:rPr>
          <w:color w:val="231F20"/>
          <w:spacing w:val="22"/>
          <w:w w:val="101"/>
          <w:lang w:eastAsia="zh-CN"/>
        </w:rPr>
        <w:t>精准监测机制，</w:t>
      </w:r>
      <w:r>
        <w:rPr>
          <w:color w:val="231F20"/>
          <w:spacing w:val="-102"/>
          <w:lang w:eastAsia="zh-CN"/>
        </w:rPr>
        <w:t xml:space="preserve"> </w:t>
      </w:r>
      <w:r>
        <w:rPr>
          <w:color w:val="231F20"/>
          <w:spacing w:val="17"/>
          <w:w w:val="101"/>
          <w:lang w:eastAsia="zh-CN"/>
        </w:rPr>
        <w:t>避免“</w:t>
      </w:r>
      <w:r>
        <w:rPr>
          <w:color w:val="231F20"/>
          <w:spacing w:val="-102"/>
          <w:lang w:eastAsia="zh-CN"/>
        </w:rPr>
        <w:t xml:space="preserve"> </w:t>
      </w:r>
      <w:r>
        <w:rPr>
          <w:color w:val="231F20"/>
          <w:spacing w:val="21"/>
          <w:w w:val="101"/>
          <w:lang w:eastAsia="zh-CN"/>
        </w:rPr>
        <w:t>过度防控”</w:t>
      </w:r>
      <w:r>
        <w:rPr>
          <w:color w:val="231F20"/>
          <w:spacing w:val="-102"/>
          <w:lang w:eastAsia="zh-CN"/>
        </w:rPr>
        <w:t xml:space="preserve"> </w:t>
      </w:r>
      <w:r>
        <w:rPr>
          <w:color w:val="231F20"/>
          <w:spacing w:val="12"/>
          <w:w w:val="101"/>
          <w:lang w:eastAsia="zh-CN"/>
        </w:rPr>
        <w:t>或“</w:t>
      </w:r>
      <w:r>
        <w:rPr>
          <w:color w:val="231F20"/>
          <w:spacing w:val="-102"/>
          <w:lang w:eastAsia="zh-CN"/>
        </w:rPr>
        <w:t xml:space="preserve"> </w:t>
      </w:r>
      <w:r>
        <w:rPr>
          <w:color w:val="231F20"/>
          <w:spacing w:val="-3"/>
          <w:w w:val="101"/>
          <w:lang w:eastAsia="zh-CN"/>
        </w:rPr>
        <w:t>放松防控”，</w:t>
      </w:r>
      <w:r>
        <w:rPr>
          <w:color w:val="231F20"/>
          <w:spacing w:val="-102"/>
          <w:lang w:eastAsia="zh-CN"/>
        </w:rPr>
        <w:t xml:space="preserve"> </w:t>
      </w:r>
      <w:r>
        <w:rPr>
          <w:color w:val="231F20"/>
          <w:spacing w:val="21"/>
          <w:w w:val="101"/>
          <w:lang w:eastAsia="zh-CN"/>
        </w:rPr>
        <w:t>有效保持经</w:t>
      </w:r>
      <w:r>
        <w:rPr>
          <w:color w:val="231F20"/>
          <w:spacing w:val="12"/>
          <w:lang w:eastAsia="zh-CN"/>
        </w:rPr>
        <w:t>济发展正常秩序。</w:t>
      </w:r>
      <w:r>
        <w:rPr>
          <w:color w:val="231F20"/>
          <w:spacing w:val="-18"/>
          <w:lang w:eastAsia="zh-CN"/>
        </w:rPr>
        <w:t>（</w:t>
      </w:r>
      <w:r>
        <w:rPr>
          <w:color w:val="231F20"/>
          <w:spacing w:val="16"/>
          <w:lang w:eastAsia="zh-CN"/>
        </w:rPr>
        <w:t>责任单位： 市交通运输局、市商务局、市卫</w:t>
      </w:r>
      <w:r>
        <w:rPr>
          <w:color w:val="231F20"/>
          <w:spacing w:val="20"/>
          <w:lang w:eastAsia="zh-CN"/>
        </w:rPr>
        <w:t>生健康委、市政府物流口岸办、市邮政管理局、各区县市人民政</w:t>
      </w:r>
      <w:r>
        <w:rPr>
          <w:color w:val="231F20"/>
          <w:spacing w:val="15"/>
          <w:lang w:eastAsia="zh-CN"/>
        </w:rPr>
        <w:t>府、各园区管委会等</w:t>
      </w:r>
      <w:r>
        <w:rPr>
          <w:color w:val="231F20"/>
          <w:lang w:eastAsia="zh-CN"/>
        </w:rPr>
        <w:t>）</w:t>
      </w:r>
    </w:p>
    <w:p>
      <w:pPr>
        <w:pStyle w:val="3"/>
        <w:spacing w:before="35"/>
        <w:ind w:left="833"/>
        <w:rPr>
          <w:rFonts w:ascii="方正黑体_GBK" w:eastAsia="方正黑体_GBK"/>
          <w:lang w:eastAsia="zh-CN"/>
        </w:rPr>
      </w:pPr>
      <w:r>
        <w:rPr>
          <w:rFonts w:hint="eastAsia" w:ascii="方正黑体_GBK" w:eastAsia="方正黑体_GBK"/>
          <w:color w:val="231F20"/>
          <w:lang w:eastAsia="zh-CN"/>
        </w:rPr>
        <w:t>六、保障措施</w:t>
      </w:r>
    </w:p>
    <w:p>
      <w:pPr>
        <w:pStyle w:val="3"/>
        <w:spacing w:before="178" w:line="338" w:lineRule="auto"/>
        <w:ind w:left="213" w:firstLine="515"/>
        <w:rPr>
          <w:lang w:eastAsia="zh-CN"/>
        </w:rPr>
      </w:pPr>
      <w:r>
        <w:rPr>
          <w:color w:val="231F20"/>
          <w:lang w:eastAsia="zh-CN"/>
        </w:rPr>
        <w:t xml:space="preserve">（二十五） 加快政策资金兑现。加快涉企专项资金执行进度， 做到早分配、早使用、早见效， 力争上半年达到 </w:t>
      </w:r>
      <w:r>
        <w:rPr>
          <w:rFonts w:ascii="Times New Roman" w:eastAsia="Times New Roman"/>
          <w:color w:val="231F20"/>
          <w:lang w:eastAsia="zh-CN"/>
        </w:rPr>
        <w:t xml:space="preserve">60% </w:t>
      </w:r>
      <w:r>
        <w:rPr>
          <w:color w:val="231F20"/>
          <w:lang w:eastAsia="zh-CN"/>
        </w:rPr>
        <w:t>以上。</w:t>
      </w:r>
    </w:p>
    <w:p>
      <w:pPr>
        <w:pStyle w:val="3"/>
        <w:spacing w:before="38"/>
        <w:ind w:left="109"/>
        <w:rPr>
          <w:lang w:eastAsia="zh-CN"/>
        </w:rPr>
      </w:pPr>
      <w:r>
        <w:rPr>
          <w:color w:val="231F20"/>
          <w:lang w:eastAsia="zh-CN"/>
        </w:rPr>
        <w:t>（责任单位：市财政局、各行业主管部门、各区县市人民政府）</w:t>
      </w:r>
    </w:p>
    <w:p>
      <w:pPr>
        <w:pStyle w:val="3"/>
        <w:spacing w:before="177" w:line="338" w:lineRule="auto"/>
        <w:ind w:left="213" w:right="251" w:firstLine="515"/>
        <w:jc w:val="both"/>
        <w:rPr>
          <w:color w:val="231F20"/>
          <w:spacing w:val="-17"/>
          <w:lang w:eastAsia="zh-CN"/>
        </w:rPr>
      </w:pPr>
      <w:r>
        <w:rPr>
          <w:color w:val="231F20"/>
          <w:spacing w:val="-17"/>
          <w:lang w:eastAsia="zh-CN"/>
        </w:rPr>
        <w:t>（二十六） 实施企业信用修复。受疫情影响， 无法在规定期限内进行年度报告的企业， 已纳入信用记录的， 可申请信用修复。（责任单位： 市市场监管局、市发展改革委、各行业主管部门、各区县市人民政府）</w:t>
      </w:r>
    </w:p>
    <w:p>
      <w:pPr>
        <w:pStyle w:val="3"/>
        <w:spacing w:before="39" w:line="338" w:lineRule="auto"/>
        <w:ind w:left="113" w:right="251" w:firstLine="515"/>
        <w:jc w:val="both"/>
        <w:rPr>
          <w:lang w:eastAsia="zh-CN"/>
        </w:rPr>
      </w:pPr>
      <w:r>
        <w:rPr>
          <w:color w:val="231F20"/>
          <w:lang w:eastAsia="zh-CN"/>
        </w:rPr>
        <w:t>（二十七） 稳定和谐劳动关系。加大特殊时期企业劳动关系处理的指导服务。充分发挥协调劳动关系三方机制作用，推动劳动关系双方广泛开展协商，相互体谅、共渡难关。对于经营困难确需裁员的，指导企业制定裁员方案，依法履行相关程序，妥善处理劳动关系， 维护企业正常生产经营秩序。（责任单位： 市人力资源社会保障局、市总工会、市工商联、各行业主管部门、各区县市人民政府）</w:t>
      </w:r>
    </w:p>
    <w:p>
      <w:pPr>
        <w:pStyle w:val="3"/>
        <w:spacing w:before="39" w:line="338" w:lineRule="auto"/>
        <w:ind w:left="113" w:right="99" w:firstLine="515"/>
        <w:rPr>
          <w:lang w:eastAsia="zh-CN"/>
        </w:rPr>
      </w:pPr>
      <w:r>
        <w:rPr>
          <w:color w:val="231F20"/>
          <w:spacing w:val="-12"/>
          <w:lang w:eastAsia="zh-CN"/>
        </w:rPr>
        <w:t>（</w:t>
      </w:r>
      <w:r>
        <w:rPr>
          <w:color w:val="231F20"/>
          <w:spacing w:val="16"/>
          <w:lang w:eastAsia="zh-CN"/>
        </w:rPr>
        <w:t>二十八</w:t>
      </w:r>
      <w:r>
        <w:rPr>
          <w:color w:val="231F20"/>
          <w:lang w:eastAsia="zh-CN"/>
        </w:rPr>
        <w:t>）</w:t>
      </w:r>
      <w:r>
        <w:rPr>
          <w:color w:val="231F20"/>
          <w:spacing w:val="21"/>
          <w:lang w:eastAsia="zh-CN"/>
        </w:rPr>
        <w:t xml:space="preserve"> 推进应用场景建设。以“</w:t>
      </w:r>
      <w:r>
        <w:rPr>
          <w:rFonts w:ascii="Times New Roman" w:hAnsi="Times New Roman" w:eastAsia="Times New Roman"/>
          <w:color w:val="231F20"/>
          <w:spacing w:val="6"/>
          <w:lang w:eastAsia="zh-CN"/>
        </w:rPr>
        <w:t>1+2+N</w:t>
      </w:r>
      <w:r>
        <w:rPr>
          <w:color w:val="231F20"/>
          <w:spacing w:val="7"/>
          <w:lang w:eastAsia="zh-CN"/>
        </w:rPr>
        <w:t>” 先进制造业集</w:t>
      </w:r>
      <w:r>
        <w:rPr>
          <w:color w:val="231F20"/>
          <w:spacing w:val="20"/>
          <w:lang w:eastAsia="zh-CN"/>
        </w:rPr>
        <w:t>群为重点，以基础算力、智慧算力、超级算力等为切入点，聚焦新基建、新制造、新产业、新零售、新消费等领域，由行业主管</w:t>
      </w:r>
      <w:r>
        <w:rPr>
          <w:color w:val="231F20"/>
          <w:spacing w:val="23"/>
          <w:w w:val="101"/>
          <w:lang w:eastAsia="zh-CN"/>
        </w:rPr>
        <w:t>部门提供“</w:t>
      </w:r>
      <w:r>
        <w:rPr>
          <w:color w:val="231F20"/>
          <w:spacing w:val="-99"/>
          <w:lang w:eastAsia="zh-CN"/>
        </w:rPr>
        <w:t xml:space="preserve"> </w:t>
      </w:r>
      <w:r>
        <w:rPr>
          <w:color w:val="231F20"/>
          <w:spacing w:val="-1"/>
          <w:w w:val="101"/>
          <w:lang w:eastAsia="zh-CN"/>
        </w:rPr>
        <w:t>机会清单”，</w:t>
      </w:r>
      <w:r>
        <w:rPr>
          <w:color w:val="231F20"/>
          <w:spacing w:val="-99"/>
          <w:lang w:eastAsia="zh-CN"/>
        </w:rPr>
        <w:t xml:space="preserve"> </w:t>
      </w:r>
      <w:r>
        <w:rPr>
          <w:rFonts w:ascii="Times New Roman" w:hAnsi="Times New Roman" w:eastAsia="Times New Roman"/>
          <w:color w:val="231F20"/>
          <w:spacing w:val="2"/>
          <w:w w:val="101"/>
          <w:lang w:eastAsia="zh-CN"/>
        </w:rPr>
        <w:t>202</w:t>
      </w:r>
      <w:r>
        <w:rPr>
          <w:rFonts w:ascii="Times New Roman" w:hAnsi="Times New Roman" w:eastAsia="Times New Roman"/>
          <w:color w:val="231F20"/>
          <w:w w:val="101"/>
          <w:lang w:eastAsia="zh-CN"/>
        </w:rPr>
        <w:t>2</w:t>
      </w:r>
      <w:r>
        <w:rPr>
          <w:rFonts w:ascii="Times New Roman" w:hAnsi="Times New Roman" w:eastAsia="Times New Roman"/>
          <w:color w:val="231F20"/>
          <w:lang w:eastAsia="zh-CN"/>
        </w:rPr>
        <w:t xml:space="preserve"> </w:t>
      </w:r>
      <w:r>
        <w:rPr>
          <w:color w:val="231F20"/>
          <w:w w:val="101"/>
          <w:lang w:eastAsia="zh-CN"/>
        </w:rPr>
        <w:t>年</w:t>
      </w:r>
      <w:r>
        <w:rPr>
          <w:color w:val="231F20"/>
          <w:spacing w:val="-62"/>
          <w:lang w:eastAsia="zh-CN"/>
        </w:rPr>
        <w:t xml:space="preserve"> </w:t>
      </w:r>
      <w:r>
        <w:rPr>
          <w:rFonts w:ascii="Times New Roman" w:hAnsi="Times New Roman" w:eastAsia="Times New Roman"/>
          <w:color w:val="231F20"/>
          <w:w w:val="101"/>
          <w:lang w:eastAsia="zh-CN"/>
        </w:rPr>
        <w:t>6</w:t>
      </w:r>
      <w:r>
        <w:rPr>
          <w:rFonts w:ascii="Times New Roman" w:hAnsi="Times New Roman" w:eastAsia="Times New Roman"/>
          <w:color w:val="231F20"/>
          <w:lang w:eastAsia="zh-CN"/>
        </w:rPr>
        <w:t xml:space="preserve"> </w:t>
      </w:r>
      <w:r>
        <w:rPr>
          <w:color w:val="231F20"/>
          <w:spacing w:val="26"/>
          <w:w w:val="101"/>
          <w:lang w:eastAsia="zh-CN"/>
        </w:rPr>
        <w:t>月底前加快铺排建设一批应用</w:t>
      </w:r>
      <w:r>
        <w:rPr>
          <w:color w:val="231F20"/>
          <w:spacing w:val="21"/>
          <w:lang w:eastAsia="zh-CN"/>
        </w:rPr>
        <w:t xml:space="preserve">场景。对于具有前瞻性的技术应用场景， 以包容态度允许试错， </w:t>
      </w:r>
      <w:r>
        <w:rPr>
          <w:color w:val="231F20"/>
          <w:spacing w:val="20"/>
          <w:lang w:eastAsia="zh-CN"/>
        </w:rPr>
        <w:t>对于成熟技术的应用场景，精简审批流程，统筹政策、机制、资</w:t>
      </w:r>
      <w:r>
        <w:rPr>
          <w:color w:val="231F20"/>
          <w:spacing w:val="23"/>
          <w:lang w:eastAsia="zh-CN"/>
        </w:rPr>
        <w:t>金、人才等要素加速场景落地。</w:t>
      </w:r>
      <w:r>
        <w:rPr>
          <w:color w:val="231F20"/>
          <w:spacing w:val="-13"/>
          <w:lang w:eastAsia="zh-CN"/>
        </w:rPr>
        <w:t>（</w:t>
      </w:r>
      <w:r>
        <w:rPr>
          <w:color w:val="231F20"/>
          <w:spacing w:val="20"/>
          <w:lang w:eastAsia="zh-CN"/>
        </w:rPr>
        <w:t>责任单位： 各行业主管部门、</w:t>
      </w:r>
      <w:r>
        <w:rPr>
          <w:color w:val="231F20"/>
          <w:spacing w:val="17"/>
          <w:lang w:eastAsia="zh-CN"/>
        </w:rPr>
        <w:t>各区县市人民政府、各园区管委会等</w:t>
      </w:r>
      <w:r>
        <w:rPr>
          <w:color w:val="231F20"/>
          <w:lang w:eastAsia="zh-CN"/>
        </w:rPr>
        <w:t>）</w:t>
      </w:r>
    </w:p>
    <w:p>
      <w:pPr>
        <w:pStyle w:val="3"/>
        <w:spacing w:before="39" w:line="338" w:lineRule="auto"/>
        <w:ind w:left="113" w:right="251" w:firstLine="515"/>
        <w:jc w:val="both"/>
        <w:rPr>
          <w:lang w:eastAsia="zh-CN"/>
        </w:rPr>
      </w:pPr>
      <w:r>
        <w:rPr>
          <w:color w:val="231F20"/>
          <w:lang w:eastAsia="zh-CN"/>
        </w:rPr>
        <w:t>（二十九） 确保政策落地见效。本文件施行前我市相关政策与本文件不一致的， 以本文件为准。本文件政策与我市政策重复、同类的，同一企业、同一项目按照就高不就低、不重复享受的原则执行。各有关单位要细化实施细则和配套措施，指导帮助企业用足用好政策措施。各区县 （市） 要加大政策宣传力度，结合本地实际抓好政策执行落实。（责任单位： 各相关部门、各区县市人民政府）</w:t>
      </w:r>
    </w:p>
    <w:p>
      <w:pPr>
        <w:pStyle w:val="3"/>
        <w:spacing w:before="39" w:line="338" w:lineRule="auto"/>
        <w:ind w:left="113" w:firstLine="619"/>
        <w:rPr>
          <w:color w:val="231F20"/>
          <w:lang w:eastAsia="zh-CN"/>
        </w:rPr>
      </w:pPr>
      <w:r>
        <w:rPr>
          <w:color w:val="231F20"/>
          <w:lang w:eastAsia="zh-CN"/>
        </w:rPr>
        <w:t xml:space="preserve">本政策自公布之日起施行，除已有明确期限规定外，有效期截至 </w:t>
      </w:r>
      <w:r>
        <w:rPr>
          <w:rFonts w:ascii="Times New Roman" w:eastAsia="Times New Roman"/>
          <w:color w:val="231F20"/>
          <w:lang w:eastAsia="zh-CN"/>
        </w:rPr>
        <w:t xml:space="preserve">2022 </w:t>
      </w:r>
      <w:r>
        <w:rPr>
          <w:color w:val="231F20"/>
          <w:lang w:eastAsia="zh-CN"/>
        </w:rPr>
        <w:t xml:space="preserve">年 </w:t>
      </w:r>
      <w:r>
        <w:rPr>
          <w:rFonts w:ascii="Times New Roman" w:eastAsia="Times New Roman"/>
          <w:color w:val="231F20"/>
          <w:lang w:eastAsia="zh-CN"/>
        </w:rPr>
        <w:t xml:space="preserve">12 </w:t>
      </w:r>
      <w:r>
        <w:rPr>
          <w:color w:val="231F20"/>
          <w:lang w:eastAsia="zh-CN"/>
        </w:rPr>
        <w:t xml:space="preserve">月 </w:t>
      </w:r>
      <w:r>
        <w:rPr>
          <w:rFonts w:ascii="Times New Roman" w:eastAsia="Times New Roman"/>
          <w:color w:val="231F20"/>
          <w:lang w:eastAsia="zh-CN"/>
        </w:rPr>
        <w:t xml:space="preserve">31 </w:t>
      </w:r>
      <w:r>
        <w:rPr>
          <w:color w:val="231F20"/>
          <w:lang w:eastAsia="zh-CN"/>
        </w:rPr>
        <w:t>日。</w:t>
      </w: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rFonts w:hint="eastAsia"/>
          <w:lang w:eastAsia="zh-CN"/>
        </w:rPr>
      </w:pPr>
    </w:p>
    <w:p>
      <w:pPr>
        <w:pStyle w:val="3"/>
        <w:rPr>
          <w:sz w:val="20"/>
          <w:lang w:eastAsia="zh-CN"/>
        </w:rPr>
      </w:pPr>
    </w:p>
    <w:p>
      <w:pPr>
        <w:pStyle w:val="3"/>
        <w:spacing w:line="20" w:lineRule="exact"/>
        <w:ind w:left="106"/>
        <w:rPr>
          <w:rFonts w:ascii="方正书宋_GBK" w:hAnsi="方正书宋_GBK"/>
          <w:color w:val="231F20"/>
          <w:sz w:val="27"/>
          <w:szCs w:val="22"/>
        </w:rPr>
      </w:pPr>
    </w:p>
    <w:p>
      <w:pPr>
        <w:pStyle w:val="3"/>
        <w:spacing w:line="20" w:lineRule="exact"/>
        <w:ind w:left="106"/>
        <w:rPr>
          <w:rFonts w:ascii="方正书宋_GBK"/>
          <w:sz w:val="2"/>
        </w:rPr>
      </w:pPr>
      <w:r>
        <w:rPr>
          <w:rFonts w:ascii="方正书宋_GBK"/>
          <w:sz w:val="2"/>
        </w:rPr>
        <w:pict>
          <v:group id="_x0000_s1029" o:spid="_x0000_s1029" o:spt="203" style="height:0.7pt;width:444.3pt;" coordsize="8886,14">
            <o:lock v:ext="edit"/>
            <v:line id="_x0000_s1030" o:spid="_x0000_s1030" o:spt="20" style="position:absolute;left:7;top:7;height:0;width:8872;" stroked="t" coordsize="21600,21600">
              <v:path arrowok="t"/>
              <v:fill focussize="0,0"/>
              <v:stroke weight="0.651968503937008pt" color="#231F20"/>
              <v:imagedata o:title=""/>
              <o:lock v:ext="edit"/>
            </v:line>
            <w10:wrap type="none"/>
            <w10:anchorlock/>
          </v:group>
        </w:pict>
      </w:r>
    </w:p>
    <w:p>
      <w:pPr>
        <w:spacing w:line="373" w:lineRule="exact"/>
        <w:ind w:left="248"/>
        <w:rPr>
          <w:rFonts w:ascii="方正仿宋简体" w:eastAsia="方正仿宋简体"/>
          <w:sz w:val="27"/>
          <w:lang w:eastAsia="zh-CN"/>
        </w:rPr>
      </w:pPr>
      <w:r>
        <w:rPr>
          <w:rFonts w:hint="eastAsia" w:ascii="方正仿宋简体" w:eastAsia="方正仿宋简体"/>
          <w:color w:val="231F20"/>
          <w:sz w:val="27"/>
          <w:lang w:eastAsia="zh-CN"/>
        </w:rPr>
        <w:t>抄送：市委有关部门，长沙警备区。</w:t>
      </w:r>
    </w:p>
    <w:p>
      <w:pPr>
        <w:spacing w:before="5" w:line="232" w:lineRule="auto"/>
        <w:ind w:left="1105" w:right="985"/>
        <w:rPr>
          <w:rFonts w:ascii="方正仿宋简体" w:eastAsia="方正仿宋简体"/>
          <w:sz w:val="27"/>
          <w:lang w:eastAsia="zh-CN"/>
        </w:rPr>
      </w:pPr>
      <w:r>
        <w:rPr>
          <w:rFonts w:hint="eastAsia" w:ascii="方正仿宋简体" w:eastAsia="方正仿宋简体"/>
          <w:color w:val="231F20"/>
          <w:sz w:val="27"/>
          <w:lang w:eastAsia="zh-CN"/>
        </w:rPr>
        <w:t>市人大常委会办公厅，市政协办公厅，市中级人民法院， 市人民检察院。</w:t>
      </w:r>
    </w:p>
    <w:p>
      <w:pPr>
        <w:spacing w:line="385" w:lineRule="exact"/>
        <w:ind w:left="1105"/>
        <w:rPr>
          <w:rFonts w:ascii="方正仿宋简体" w:eastAsia="方正仿宋简体"/>
          <w:sz w:val="27"/>
          <w:lang w:eastAsia="zh-CN"/>
        </w:rPr>
      </w:pPr>
      <w:r>
        <w:pict>
          <v:line id="_x0000_s1028" o:spid="_x0000_s1028" o:spt="20" style="position:absolute;left:0pt;margin-left:75.7pt;margin-top:22.5pt;height:0pt;width:443.55pt;mso-position-horizontal-relative:page;mso-wrap-distance-bottom:0pt;mso-wrap-distance-top:0pt;z-index:251661312;mso-width-relative:page;mso-height-relative:page;" stroked="t" coordsize="21600,21600">
            <v:path arrowok="t"/>
            <v:fill focussize="0,0"/>
            <v:stroke weight="0.651968503937008pt" color="#231F20"/>
            <v:imagedata o:title=""/>
            <o:lock v:ext="edit"/>
            <w10:wrap type="topAndBottom"/>
          </v:line>
        </w:pict>
      </w:r>
      <w:r>
        <w:rPr>
          <w:rFonts w:hint="eastAsia" w:ascii="方正仿宋简体" w:eastAsia="方正仿宋简体"/>
          <w:color w:val="231F20"/>
          <w:sz w:val="27"/>
          <w:lang w:eastAsia="zh-CN"/>
        </w:rPr>
        <w:t>各民主党派市委。</w:t>
      </w:r>
    </w:p>
    <w:p>
      <w:pPr>
        <w:tabs>
          <w:tab w:val="left" w:pos="6306"/>
        </w:tabs>
        <w:spacing w:before="10" w:after="109"/>
        <w:ind w:left="243"/>
        <w:rPr>
          <w:rFonts w:ascii="方正仿宋简体" w:eastAsia="方正仿宋简体"/>
          <w:sz w:val="27"/>
          <w:lang w:eastAsia="zh-CN"/>
        </w:rPr>
      </w:pPr>
      <w:r>
        <w:rPr>
          <w:rFonts w:hint="eastAsia" w:ascii="方正仿宋简体" w:eastAsia="方正仿宋简体"/>
          <w:color w:val="231F20"/>
          <w:spacing w:val="5"/>
          <w:sz w:val="27"/>
          <w:lang w:eastAsia="zh-CN"/>
        </w:rPr>
        <w:t>长沙市人民政府办公</w:t>
      </w:r>
      <w:r>
        <w:rPr>
          <w:rFonts w:hint="eastAsia" w:ascii="方正仿宋简体" w:eastAsia="方正仿宋简体"/>
          <w:color w:val="231F20"/>
          <w:sz w:val="27"/>
          <w:lang w:eastAsia="zh-CN"/>
        </w:rPr>
        <w:t>厅</w:t>
      </w:r>
      <w:r>
        <w:rPr>
          <w:rFonts w:hint="eastAsia" w:ascii="方正仿宋简体" w:eastAsia="方正仿宋简体"/>
          <w:color w:val="231F20"/>
          <w:sz w:val="27"/>
          <w:lang w:eastAsia="zh-CN"/>
        </w:rPr>
        <w:tab/>
      </w:r>
      <w:r>
        <w:rPr>
          <w:rFonts w:ascii="Times New Roman" w:eastAsia="Times New Roman"/>
          <w:color w:val="231F20"/>
          <w:sz w:val="27"/>
          <w:lang w:eastAsia="zh-CN"/>
        </w:rPr>
        <w:t>2022</w:t>
      </w:r>
      <w:r>
        <w:rPr>
          <w:rFonts w:ascii="Times New Roman" w:eastAsia="Times New Roman"/>
          <w:color w:val="231F20"/>
          <w:spacing w:val="-15"/>
          <w:sz w:val="27"/>
          <w:lang w:eastAsia="zh-CN"/>
        </w:rPr>
        <w:t xml:space="preserve"> </w:t>
      </w:r>
      <w:r>
        <w:rPr>
          <w:rFonts w:hint="eastAsia" w:ascii="方正仿宋简体" w:eastAsia="方正仿宋简体"/>
          <w:color w:val="231F20"/>
          <w:spacing w:val="40"/>
          <w:sz w:val="27"/>
          <w:lang w:eastAsia="zh-CN"/>
        </w:rPr>
        <w:t>年</w:t>
      </w:r>
      <w:r>
        <w:rPr>
          <w:rFonts w:ascii="Times New Roman" w:eastAsia="Times New Roman"/>
          <w:color w:val="231F20"/>
          <w:sz w:val="27"/>
          <w:lang w:eastAsia="zh-CN"/>
        </w:rPr>
        <w:t>4</w:t>
      </w:r>
      <w:r>
        <w:rPr>
          <w:rFonts w:ascii="Times New Roman" w:eastAsia="Times New Roman"/>
          <w:color w:val="231F20"/>
          <w:spacing w:val="-15"/>
          <w:sz w:val="27"/>
          <w:lang w:eastAsia="zh-CN"/>
        </w:rPr>
        <w:t xml:space="preserve"> </w:t>
      </w:r>
      <w:r>
        <w:rPr>
          <w:rFonts w:hint="eastAsia" w:ascii="方正仿宋简体" w:eastAsia="方正仿宋简体"/>
          <w:color w:val="231F20"/>
          <w:spacing w:val="40"/>
          <w:sz w:val="27"/>
          <w:lang w:eastAsia="zh-CN"/>
        </w:rPr>
        <w:t>月</w:t>
      </w:r>
      <w:r>
        <w:rPr>
          <w:rFonts w:ascii="Times New Roman" w:eastAsia="Times New Roman"/>
          <w:color w:val="231F20"/>
          <w:sz w:val="27"/>
          <w:lang w:eastAsia="zh-CN"/>
        </w:rPr>
        <w:t>18</w:t>
      </w:r>
      <w:r>
        <w:rPr>
          <w:rFonts w:ascii="Times New Roman" w:eastAsia="Times New Roman"/>
          <w:color w:val="231F20"/>
          <w:spacing w:val="-15"/>
          <w:sz w:val="27"/>
          <w:lang w:eastAsia="zh-CN"/>
        </w:rPr>
        <w:t xml:space="preserve"> </w:t>
      </w:r>
      <w:r>
        <w:rPr>
          <w:rFonts w:hint="eastAsia" w:ascii="方正仿宋简体" w:eastAsia="方正仿宋简体"/>
          <w:color w:val="231F20"/>
          <w:spacing w:val="5"/>
          <w:sz w:val="27"/>
          <w:lang w:eastAsia="zh-CN"/>
        </w:rPr>
        <w:t>日印</w:t>
      </w:r>
      <w:r>
        <w:rPr>
          <w:rFonts w:hint="eastAsia" w:ascii="方正仿宋简体" w:eastAsia="方正仿宋简体"/>
          <w:color w:val="231F20"/>
          <w:sz w:val="27"/>
          <w:lang w:eastAsia="zh-CN"/>
        </w:rPr>
        <w:t>发</w:t>
      </w:r>
    </w:p>
    <w:p>
      <w:pPr>
        <w:pStyle w:val="3"/>
        <w:spacing w:line="20" w:lineRule="exact"/>
        <w:ind w:left="106"/>
        <w:rPr>
          <w:rFonts w:ascii="方正仿宋简体"/>
          <w:sz w:val="2"/>
        </w:rPr>
      </w:pPr>
      <w:r>
        <w:rPr>
          <w:rFonts w:ascii="方正仿宋简体"/>
          <w:sz w:val="2"/>
        </w:rPr>
        <w:pict>
          <v:group id="_x0000_s1026" o:spid="_x0000_s1026" o:spt="203" style="height:0.7pt;width:444.3pt;" coordsize="8886,14">
            <o:lock v:ext="edit"/>
            <v:line id="_x0000_s1027" o:spid="_x0000_s1027" o:spt="20" style="position:absolute;left:7;top:7;height:0;width:8872;" stroked="t" coordsize="21600,21600">
              <v:path arrowok="t"/>
              <v:fill focussize="0,0"/>
              <v:stroke weight="0.651968503937008pt" color="#231F20"/>
              <v:imagedata o:title=""/>
              <o:lock v:ext="edit"/>
            </v:line>
            <w10:wrap type="none"/>
            <w10:anchorlock/>
          </v:group>
        </w:pict>
      </w:r>
    </w:p>
    <w:sectPr>
      <w:footerReference r:id="rId5" w:type="even"/>
      <w:pgSz w:w="11910" w:h="16840"/>
      <w:pgMar w:top="1580" w:right="1400" w:bottom="1660" w:left="1400" w:header="0" w:footer="14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大标宋简体">
    <w:altName w:val="Arial Unicode MS"/>
    <w:panose1 w:val="03000509000000000000"/>
    <w:charset w:val="86"/>
    <w:family w:val="script"/>
    <w:pitch w:val="default"/>
    <w:sig w:usb0="00000000" w:usb1="00000000" w:usb2="00000000" w:usb3="00000000" w:csb0="00040001" w:csb1="00000000"/>
  </w:font>
  <w:font w:name="方正仿宋简体">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书宋_GBK">
    <w:altName w:val="Arial Unicode MS"/>
    <w:panose1 w:val="03000509000000000000"/>
    <w:charset w:val="86"/>
    <w:family w:val="script"/>
    <w:pitch w:val="default"/>
    <w:sig w:usb0="00000000" w:usb1="00000000" w:usb2="00000000" w:usb3="00000000" w:csb0="00040000" w:csb1="00000000"/>
  </w:font>
  <w:font w:name="NEU-BZ">
    <w:altName w:val="宋体"/>
    <w:panose1 w:val="02010600010101010101"/>
    <w:charset w:val="86"/>
    <w:family w:val="auto"/>
    <w:pitch w:val="default"/>
    <w:sig w:usb0="00000000" w:usb1="00000000" w:usb2="00000014"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方正黑体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4" o:spid="_x0000_s2054" o:spt="202" type="#_x0000_t202" style="position:absolute;left:0pt;margin-left:457.45pt;margin-top:757.3pt;height:34.55pt;width:62.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666" w:lineRule="exact"/>
                  <w:ind w:left="20"/>
                  <w:rPr>
                    <w:rFonts w:ascii="方正书宋_GBK" w:hAnsi="方正书宋_GBK"/>
                    <w:sz w:val="27"/>
                  </w:rPr>
                </w:pPr>
                <w:r>
                  <w:rPr>
                    <w:rFonts w:ascii="方正书宋_GBK" w:hAnsi="方正书宋_GBK"/>
                    <w:color w:val="231F20"/>
                    <w:sz w:val="27"/>
                  </w:rPr>
                  <w:t xml:space="preserve">—  </w:t>
                </w:r>
                <w:r>
                  <w:rPr>
                    <w:rFonts w:ascii="NEU-BZ" w:hAnsi="NEU-BZ"/>
                    <w:color w:val="231F20"/>
                    <w:sz w:val="27"/>
                  </w:rPr>
                  <w:t xml:space="preserve">11 </w:t>
                </w:r>
                <w:r>
                  <w:rPr>
                    <w:rFonts w:ascii="方正书宋_GBK" w:hAnsi="方正书宋_GBK"/>
                    <w:color w:val="231F20"/>
                    <w:sz w:val="27"/>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3" o:spid="_x0000_s2053" o:spt="202" type="#_x0000_t202" style="position:absolute;left:0pt;margin-left:89.75pt;margin-top:757.3pt;height:34.55pt;width:48.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666" w:lineRule="exact"/>
                  <w:ind w:left="20"/>
                  <w:rPr>
                    <w:rFonts w:ascii="方正书宋_GBK" w:hAnsi="方正书宋_GBK"/>
                    <w:sz w:val="27"/>
                  </w:rPr>
                </w:pPr>
                <w:r>
                  <w:rPr>
                    <w:rFonts w:ascii="方正书宋_GBK" w:hAnsi="方正书宋_GBK"/>
                    <w:color w:val="231F20"/>
                    <w:sz w:val="27"/>
                  </w:rPr>
                  <w:t xml:space="preserve">—  </w:t>
                </w:r>
                <w:r>
                  <w:rPr>
                    <w:rFonts w:ascii="NEU-BZ" w:hAnsi="NEU-BZ"/>
                    <w:color w:val="231F20"/>
                    <w:sz w:val="27"/>
                  </w:rPr>
                  <w:t xml:space="preserve">2 </w:t>
                </w:r>
                <w:r>
                  <w:rPr>
                    <w:rFonts w:ascii="方正书宋_GBK" w:hAnsi="方正书宋_GBK"/>
                    <w:color w:val="231F20"/>
                    <w:sz w:val="27"/>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89.75pt;margin-top:757.3pt;height:34.55pt;width:55.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666" w:lineRule="exact"/>
                  <w:ind w:left="20"/>
                  <w:rPr>
                    <w:rFonts w:ascii="方正书宋_GBK" w:hAnsi="方正书宋_GBK"/>
                    <w:sz w:val="27"/>
                  </w:rPr>
                </w:pPr>
                <w:r>
                  <w:rPr>
                    <w:rFonts w:ascii="方正书宋_GBK" w:hAnsi="方正书宋_GBK"/>
                    <w:color w:val="231F20"/>
                    <w:sz w:val="27"/>
                  </w:rPr>
                  <w:t xml:space="preserve">—  </w:t>
                </w:r>
                <w:r>
                  <w:fldChar w:fldCharType="begin"/>
                </w:r>
                <w:r>
                  <w:rPr>
                    <w:rFonts w:ascii="NEU-BZ" w:hAnsi="NEU-BZ"/>
                    <w:color w:val="231F20"/>
                    <w:sz w:val="27"/>
                  </w:rPr>
                  <w:instrText xml:space="preserve"> PAGE </w:instrText>
                </w:r>
                <w:r>
                  <w:fldChar w:fldCharType="separate"/>
                </w:r>
                <w:r>
                  <w:rPr>
                    <w:rFonts w:ascii="NEU-BZ" w:hAnsi="NEU-BZ"/>
                    <w:color w:val="231F20"/>
                    <w:sz w:val="27"/>
                  </w:rPr>
                  <w:t>10</w:t>
                </w:r>
                <w:r>
                  <w:fldChar w:fldCharType="end"/>
                </w:r>
                <w:r>
                  <w:rPr>
                    <w:rFonts w:ascii="NEU-BZ" w:hAnsi="NEU-BZ"/>
                    <w:color w:val="231F20"/>
                    <w:sz w:val="27"/>
                  </w:rPr>
                  <w:t xml:space="preserve"> </w:t>
                </w:r>
                <w:r>
                  <w:rPr>
                    <w:rFonts w:ascii="方正书宋_GBK" w:hAnsi="方正书宋_GBK"/>
                    <w:color w:val="231F20"/>
                    <w:sz w:val="27"/>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docVars>
    <w:docVar w:name="commondata" w:val="eyJoZGlkIjoiNDc5OWNlMzUwNWYxYTVmYWM3ZmM5MWFhNTU3ZWY3N2UifQ=="/>
  </w:docVars>
  <w:rsids>
    <w:rsidRoot w:val="00135103"/>
    <w:rsid w:val="00135103"/>
    <w:rsid w:val="008744A2"/>
    <w:rsid w:val="0BD0293D"/>
    <w:rsid w:val="23430C39"/>
    <w:rsid w:val="56806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en-US" w:eastAsia="en-US" w:bidi="ar-SA"/>
    </w:rPr>
  </w:style>
  <w:style w:type="paragraph" w:styleId="2">
    <w:name w:val="heading 1"/>
    <w:basedOn w:val="1"/>
    <w:next w:val="1"/>
    <w:qFormat/>
    <w:uiPriority w:val="1"/>
    <w:pPr>
      <w:spacing w:line="592" w:lineRule="exact"/>
      <w:ind w:left="1951" w:right="1182"/>
      <w:jc w:val="center"/>
      <w:outlineLvl w:val="0"/>
    </w:pPr>
    <w:rPr>
      <w:rFonts w:ascii="方正小标宋简体" w:hAnsi="方正小标宋简体" w:eastAsia="方正小标宋简体" w:cs="方正小标宋简体"/>
      <w:sz w:val="41"/>
      <w:szCs w:val="41"/>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9"/>
      <w:szCs w:val="29"/>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uiPriority w:val="99"/>
    <w:rPr>
      <w:rFonts w:ascii="方正仿宋_GBK" w:hAnsi="方正仿宋_GBK" w:eastAsia="方正仿宋_GBK" w:cs="方正仿宋_GBK"/>
      <w:sz w:val="18"/>
      <w:szCs w:val="18"/>
    </w:rPr>
  </w:style>
  <w:style w:type="character" w:customStyle="1" w:styleId="12">
    <w:name w:val="页脚 字符"/>
    <w:basedOn w:val="7"/>
    <w:link w:val="4"/>
    <w:uiPriority w:val="99"/>
    <w:rPr>
      <w:rFonts w:ascii="方正仿宋_GBK" w:hAnsi="方正仿宋_GBK" w:eastAsia="方正仿宋_GBK" w:cs="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49"/>
    <customShpInfo spid="_x0000_s1034"/>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19D5C-ACF2-48EA-A779-F22B9CE269B4}">
  <ds:schemaRefs/>
</ds:datastoreItem>
</file>

<file path=docProps/app.xml><?xml version="1.0" encoding="utf-8"?>
<Properties xmlns="http://schemas.openxmlformats.org/officeDocument/2006/extended-properties" xmlns:vt="http://schemas.openxmlformats.org/officeDocument/2006/docPropsVTypes">
  <Template>Normal</Template>
  <Pages>12</Pages>
  <Words>5181</Words>
  <Characters>5305</Characters>
  <Lines>40</Lines>
  <Paragraphs>11</Paragraphs>
  <TotalTime>5</TotalTime>
  <ScaleCrop>false</ScaleCrop>
  <LinksUpToDate>false</LinksUpToDate>
  <CharactersWithSpaces>5535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2023-02-08T14:06:00Z</dcterms:created>
  <dc:creator>Administrator</dc:creator>
  <cp:lastModifiedBy>周艳</cp:lastModifiedBy>
  <dcterms:modified xsi:type="dcterms:W3CDTF">2024-01-23T08:17:49Z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方正飞翔8.1 专业版 8.1.0.1683</vt:lpwstr>
  </property>
  <property fmtid="{D5CDD505-2E9C-101B-9397-08002B2CF9AE}" pid="4" name="LastSaved">
    <vt:filetime>2023-02-08T00:00:00Z</vt:filetime>
  </property>
  <property fmtid="{D5CDD505-2E9C-101B-9397-08002B2CF9AE}" pid="5" name="KSOProductBuildVer">
    <vt:lpwstr>2052-12.1.0.15358</vt:lpwstr>
  </property>
  <property fmtid="{D5CDD505-2E9C-101B-9397-08002B2CF9AE}" pid="6" name="ICV">
    <vt:lpwstr>84DF99A8C0BC426B9A4BC1C65B3F9460</vt:lpwstr>
  </property>
</Properties>
</file>